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7255F">
      <w:pPr>
        <w:autoSpaceDE w:val="0"/>
        <w:autoSpaceDN w:val="0"/>
        <w:spacing w:before="167"/>
        <w:ind w:right="279" w:firstLine="835"/>
        <w:rPr>
          <w:rFonts w:hint="default" w:ascii="Times New Roman" w:hAnsi="Times New Roman" w:eastAsia="黑体" w:cs="Times New Roman"/>
          <w:b/>
          <w:color w:val="000000"/>
          <w:kern w:val="0"/>
          <w:sz w:val="44"/>
          <w:lang w:val="zh-CN" w:bidi="zh-CN"/>
        </w:rPr>
      </w:pPr>
    </w:p>
    <w:p w14:paraId="1B1D26C6">
      <w:pPr>
        <w:autoSpaceDE w:val="0"/>
        <w:autoSpaceDN w:val="0"/>
        <w:spacing w:before="167"/>
        <w:ind w:right="279" w:firstLine="835"/>
        <w:rPr>
          <w:rFonts w:hint="default" w:ascii="Times New Roman" w:hAnsi="Times New Roman" w:eastAsia="黑体" w:cs="Times New Roman"/>
          <w:b/>
          <w:color w:val="000000"/>
          <w:kern w:val="0"/>
          <w:sz w:val="44"/>
          <w:lang w:val="zh-CN" w:bidi="zh-CN"/>
        </w:rPr>
      </w:pPr>
    </w:p>
    <w:p w14:paraId="2F5E0A8C">
      <w:pPr>
        <w:autoSpaceDE w:val="0"/>
        <w:autoSpaceDN w:val="0"/>
        <w:spacing w:before="167"/>
        <w:ind w:right="279" w:firstLine="835"/>
        <w:rPr>
          <w:rFonts w:hint="default" w:ascii="Times New Roman" w:hAnsi="Times New Roman" w:eastAsia="黑体" w:cs="Times New Roman"/>
          <w:b/>
          <w:color w:val="000000"/>
          <w:kern w:val="0"/>
          <w:sz w:val="40"/>
          <w:szCs w:val="21"/>
          <w:lang w:val="zh-CN" w:bidi="zh-CN"/>
        </w:rPr>
      </w:pPr>
    </w:p>
    <w:p w14:paraId="1BC602B2">
      <w:pPr>
        <w:autoSpaceDE w:val="0"/>
        <w:autoSpaceDN w:val="0"/>
        <w:spacing w:before="167"/>
        <w:ind w:right="279"/>
        <w:jc w:val="center"/>
        <w:rPr>
          <w:rFonts w:hint="default" w:ascii="Times New Roman" w:hAnsi="Times New Roman" w:eastAsia="方正小标宋简体" w:cs="Times New Roman"/>
          <w:b w:val="0"/>
          <w:bCs/>
          <w:color w:val="000000"/>
          <w:kern w:val="0"/>
          <w:sz w:val="56"/>
          <w:szCs w:val="21"/>
          <w:lang w:val="zh-CN" w:bidi="zh-CN"/>
        </w:rPr>
      </w:pPr>
      <w:r>
        <w:rPr>
          <w:rFonts w:hint="default" w:ascii="Times New Roman" w:hAnsi="Times New Roman" w:eastAsia="方正小标宋简体" w:cs="Times New Roman"/>
          <w:b w:val="0"/>
          <w:bCs/>
          <w:color w:val="000000"/>
          <w:kern w:val="0"/>
          <w:sz w:val="56"/>
          <w:szCs w:val="21"/>
          <w:lang w:val="zh-CN" w:bidi="zh-CN"/>
        </w:rPr>
        <w:t>福建省城市体检工作技术导则</w:t>
      </w:r>
    </w:p>
    <w:p w14:paraId="3157B8D1">
      <w:pPr>
        <w:autoSpaceDE w:val="0"/>
        <w:autoSpaceDN w:val="0"/>
        <w:spacing w:before="167"/>
        <w:ind w:right="279"/>
        <w:jc w:val="center"/>
        <w:rPr>
          <w:rFonts w:hint="default" w:ascii="Times New Roman" w:hAnsi="Times New Roman" w:eastAsia="方正小标宋简体" w:cs="Times New Roman"/>
          <w:b w:val="0"/>
          <w:bCs/>
          <w:color w:val="000000"/>
          <w:kern w:val="0"/>
          <w:sz w:val="56"/>
          <w:szCs w:val="21"/>
          <w:lang w:val="zh-CN" w:bidi="zh-CN"/>
        </w:rPr>
      </w:pPr>
      <w:r>
        <w:rPr>
          <w:rFonts w:hint="default" w:ascii="Times New Roman" w:hAnsi="Times New Roman" w:eastAsia="方正小标宋简体" w:cs="Times New Roman"/>
          <w:b w:val="0"/>
          <w:bCs/>
          <w:color w:val="000000"/>
          <w:kern w:val="0"/>
          <w:sz w:val="56"/>
          <w:szCs w:val="21"/>
          <w:lang w:val="zh-CN" w:bidi="zh-CN"/>
        </w:rPr>
        <w:t>（试行）</w:t>
      </w:r>
    </w:p>
    <w:p w14:paraId="0BD61161">
      <w:pPr>
        <w:autoSpaceDE w:val="0"/>
        <w:autoSpaceDN w:val="0"/>
        <w:spacing w:before="167"/>
        <w:ind w:right="279"/>
        <w:rPr>
          <w:rFonts w:hint="default" w:ascii="Times New Roman" w:hAnsi="Times New Roman" w:eastAsia="黑体" w:cs="Times New Roman"/>
          <w:b/>
          <w:color w:val="000000"/>
          <w:kern w:val="0"/>
          <w:sz w:val="72"/>
          <w:lang w:val="zh-CN" w:bidi="zh-CN"/>
        </w:rPr>
      </w:pPr>
    </w:p>
    <w:p w14:paraId="2B2ADBBF">
      <w:pPr>
        <w:pStyle w:val="2"/>
        <w:rPr>
          <w:rFonts w:hint="default" w:ascii="Times New Roman" w:hAnsi="Times New Roman" w:cs="Times New Roman"/>
          <w:lang w:val="zh-CN" w:bidi="zh-CN"/>
        </w:rPr>
      </w:pPr>
    </w:p>
    <w:p w14:paraId="28DDA49B">
      <w:pPr>
        <w:pStyle w:val="2"/>
        <w:rPr>
          <w:rFonts w:hint="default" w:ascii="Times New Roman" w:hAnsi="Times New Roman" w:cs="Times New Roman"/>
          <w:lang w:val="zh-CN" w:bidi="zh-CN"/>
        </w:rPr>
      </w:pPr>
    </w:p>
    <w:p w14:paraId="1B8876FD">
      <w:pPr>
        <w:autoSpaceDE w:val="0"/>
        <w:autoSpaceDN w:val="0"/>
        <w:spacing w:before="167"/>
        <w:ind w:right="279"/>
        <w:rPr>
          <w:rFonts w:hint="default" w:ascii="Times New Roman" w:hAnsi="Times New Roman" w:eastAsia="黑体" w:cs="Times New Roman"/>
          <w:b/>
          <w:color w:val="000000"/>
          <w:kern w:val="0"/>
          <w:sz w:val="18"/>
          <w:szCs w:val="8"/>
          <w:lang w:val="zh-CN" w:bidi="zh-CN"/>
        </w:rPr>
      </w:pPr>
    </w:p>
    <w:p w14:paraId="1DEF6893">
      <w:pPr>
        <w:autoSpaceDE w:val="0"/>
        <w:autoSpaceDN w:val="0"/>
        <w:spacing w:before="167"/>
        <w:ind w:right="279" w:firstLine="835"/>
        <w:rPr>
          <w:rFonts w:hint="default" w:ascii="Times New Roman" w:hAnsi="Times New Roman" w:eastAsia="黑体" w:cs="Times New Roman"/>
          <w:b/>
          <w:color w:val="000000"/>
          <w:kern w:val="0"/>
          <w:sz w:val="44"/>
          <w:lang w:val="zh-CN" w:bidi="zh-CN"/>
        </w:rPr>
      </w:pPr>
    </w:p>
    <w:p w14:paraId="0E9244EE">
      <w:pPr>
        <w:autoSpaceDE w:val="0"/>
        <w:autoSpaceDN w:val="0"/>
        <w:spacing w:before="167"/>
        <w:ind w:right="279" w:firstLine="835"/>
        <w:rPr>
          <w:rFonts w:hint="default" w:ascii="Times New Roman" w:hAnsi="Times New Roman" w:eastAsia="黑体" w:cs="Times New Roman"/>
          <w:b/>
          <w:color w:val="000000"/>
          <w:kern w:val="0"/>
          <w:sz w:val="44"/>
          <w:lang w:val="zh-CN" w:bidi="zh-CN"/>
        </w:rPr>
      </w:pPr>
    </w:p>
    <w:p w14:paraId="59D897F5">
      <w:pPr>
        <w:pStyle w:val="2"/>
        <w:rPr>
          <w:rFonts w:hint="default" w:ascii="Times New Roman" w:hAnsi="Times New Roman" w:cs="Times New Roman"/>
          <w:lang w:val="zh-CN" w:bidi="zh-CN"/>
        </w:rPr>
      </w:pPr>
    </w:p>
    <w:p w14:paraId="3719AAAB">
      <w:pPr>
        <w:pStyle w:val="2"/>
        <w:rPr>
          <w:rFonts w:hint="default" w:ascii="Times New Roman" w:hAnsi="Times New Roman" w:cs="Times New Roman"/>
          <w:lang w:val="zh-CN" w:bidi="zh-CN"/>
        </w:rPr>
      </w:pPr>
    </w:p>
    <w:p w14:paraId="6BE3E18E">
      <w:pPr>
        <w:pStyle w:val="2"/>
        <w:rPr>
          <w:rFonts w:hint="default" w:ascii="Times New Roman" w:hAnsi="Times New Roman" w:cs="Times New Roman"/>
          <w:lang w:val="zh-CN" w:bidi="zh-CN"/>
        </w:rPr>
      </w:pPr>
    </w:p>
    <w:p w14:paraId="73E93955">
      <w:pPr>
        <w:pStyle w:val="2"/>
        <w:rPr>
          <w:rFonts w:hint="default" w:ascii="Times New Roman" w:hAnsi="Times New Roman" w:cs="Times New Roman"/>
          <w:lang w:val="zh-CN" w:bidi="zh-CN"/>
        </w:rPr>
      </w:pPr>
    </w:p>
    <w:p w14:paraId="165F8564">
      <w:pPr>
        <w:pStyle w:val="2"/>
        <w:rPr>
          <w:rFonts w:hint="default" w:ascii="Times New Roman" w:hAnsi="Times New Roman" w:cs="Times New Roman"/>
          <w:lang w:val="zh-CN" w:bidi="zh-CN"/>
        </w:rPr>
      </w:pPr>
    </w:p>
    <w:p w14:paraId="48D0E68B">
      <w:pPr>
        <w:pStyle w:val="2"/>
        <w:rPr>
          <w:rFonts w:hint="default" w:ascii="Times New Roman" w:hAnsi="Times New Roman" w:cs="Times New Roman"/>
          <w:lang w:val="zh-CN" w:bidi="zh-CN"/>
        </w:rPr>
      </w:pPr>
    </w:p>
    <w:p w14:paraId="544FAB46">
      <w:pPr>
        <w:pStyle w:val="2"/>
        <w:rPr>
          <w:rFonts w:hint="default" w:ascii="Times New Roman" w:hAnsi="Times New Roman" w:cs="Times New Roman"/>
          <w:lang w:val="zh-CN" w:bidi="zh-CN"/>
        </w:rPr>
      </w:pPr>
    </w:p>
    <w:p w14:paraId="54932182">
      <w:pPr>
        <w:pStyle w:val="2"/>
        <w:rPr>
          <w:rFonts w:hint="default" w:ascii="Times New Roman" w:hAnsi="Times New Roman" w:cs="Times New Roman"/>
          <w:lang w:val="zh-CN" w:bidi="zh-CN"/>
        </w:rPr>
      </w:pPr>
    </w:p>
    <w:p w14:paraId="56528012">
      <w:pPr>
        <w:pStyle w:val="2"/>
        <w:rPr>
          <w:rFonts w:hint="default" w:ascii="Times New Roman" w:hAnsi="Times New Roman" w:cs="Times New Roman"/>
          <w:lang w:val="zh-CN" w:bidi="zh-CN"/>
        </w:rPr>
      </w:pPr>
    </w:p>
    <w:p w14:paraId="5AF557B1">
      <w:pPr>
        <w:pStyle w:val="2"/>
        <w:rPr>
          <w:rFonts w:hint="default" w:ascii="Times New Roman" w:hAnsi="Times New Roman" w:cs="Times New Roman"/>
          <w:lang w:val="zh-CN" w:bidi="zh-CN"/>
        </w:rPr>
      </w:pPr>
    </w:p>
    <w:p w14:paraId="68723E51">
      <w:pPr>
        <w:pStyle w:val="2"/>
        <w:rPr>
          <w:rFonts w:hint="default" w:ascii="Times New Roman" w:hAnsi="Times New Roman" w:cs="Times New Roman"/>
          <w:lang w:val="zh-CN" w:bidi="zh-CN"/>
        </w:rPr>
      </w:pPr>
    </w:p>
    <w:p w14:paraId="438BBD33">
      <w:pPr>
        <w:pStyle w:val="2"/>
        <w:rPr>
          <w:rFonts w:hint="default" w:ascii="Times New Roman" w:hAnsi="Times New Roman" w:cs="Times New Roman"/>
          <w:lang w:val="zh-CN" w:bidi="zh-CN"/>
        </w:rPr>
      </w:pPr>
    </w:p>
    <w:p w14:paraId="578F8150">
      <w:pPr>
        <w:pStyle w:val="2"/>
        <w:rPr>
          <w:rFonts w:hint="default" w:ascii="Times New Roman" w:hAnsi="Times New Roman" w:cs="Times New Roman"/>
          <w:lang w:val="zh-CN" w:bidi="zh-CN"/>
        </w:rPr>
      </w:pPr>
    </w:p>
    <w:p w14:paraId="45B3644D">
      <w:pPr>
        <w:pStyle w:val="2"/>
        <w:rPr>
          <w:rFonts w:hint="default" w:ascii="Times New Roman" w:hAnsi="Times New Roman" w:cs="Times New Roman"/>
          <w:lang w:val="zh-CN" w:bidi="zh-CN"/>
        </w:rPr>
      </w:pPr>
    </w:p>
    <w:p w14:paraId="2227E86A">
      <w:pPr>
        <w:pStyle w:val="2"/>
        <w:rPr>
          <w:rFonts w:hint="default" w:ascii="Times New Roman" w:hAnsi="Times New Roman" w:cs="Times New Roman"/>
          <w:lang w:val="zh-CN" w:bidi="zh-CN"/>
        </w:rPr>
      </w:pPr>
    </w:p>
    <w:p w14:paraId="79F8743C">
      <w:pPr>
        <w:pStyle w:val="2"/>
        <w:rPr>
          <w:rFonts w:hint="default" w:ascii="Times New Roman" w:hAnsi="Times New Roman" w:cs="Times New Roman"/>
          <w:color w:val="000000"/>
          <w:lang w:val="zh-CN" w:bidi="zh-CN"/>
        </w:rPr>
      </w:pPr>
    </w:p>
    <w:p w14:paraId="085C9B8F">
      <w:pPr>
        <w:pStyle w:val="2"/>
        <w:rPr>
          <w:rFonts w:hint="default" w:ascii="Times New Roman" w:hAnsi="Times New Roman" w:cs="Times New Roman"/>
          <w:color w:val="000000"/>
          <w:lang w:val="zh-CN" w:bidi="zh-CN"/>
        </w:rPr>
      </w:pPr>
    </w:p>
    <w:p w14:paraId="706CC064">
      <w:pPr>
        <w:pStyle w:val="2"/>
        <w:rPr>
          <w:rFonts w:hint="default" w:ascii="Times New Roman" w:hAnsi="Times New Roman" w:cs="Times New Roman"/>
          <w:color w:val="000000"/>
          <w:lang w:val="zh-CN" w:bidi="zh-CN"/>
        </w:rPr>
      </w:pPr>
    </w:p>
    <w:p w14:paraId="5E69FD39">
      <w:pPr>
        <w:autoSpaceDE w:val="0"/>
        <w:autoSpaceDN w:val="0"/>
        <w:spacing w:before="167"/>
        <w:ind w:right="279" w:firstLine="835"/>
        <w:rPr>
          <w:rFonts w:hint="default" w:ascii="Times New Roman" w:hAnsi="Times New Roman" w:eastAsia="黑体" w:cs="Times New Roman"/>
          <w:b/>
          <w:color w:val="000000"/>
          <w:kern w:val="0"/>
          <w:sz w:val="32"/>
          <w:szCs w:val="32"/>
          <w:lang w:val="zh-CN" w:bidi="zh-CN"/>
        </w:rPr>
      </w:pPr>
    </w:p>
    <w:p w14:paraId="604821A9">
      <w:pPr>
        <w:spacing w:line="360" w:lineRule="auto"/>
        <w:jc w:val="center"/>
        <w:rPr>
          <w:rFonts w:hint="default" w:ascii="Times New Roman" w:hAnsi="Times New Roman" w:eastAsia="楷体_GB2312" w:cs="Times New Roman"/>
          <w:iCs/>
          <w:color w:val="000000"/>
          <w:spacing w:val="-2"/>
          <w:sz w:val="32"/>
          <w:szCs w:val="32"/>
          <w:lang w:val="zh-CN" w:bidi="zh-CN"/>
        </w:rPr>
      </w:pPr>
      <w:r>
        <w:rPr>
          <w:rFonts w:hint="default" w:ascii="Times New Roman" w:hAnsi="Times New Roman" w:eastAsia="楷体_GB2312" w:cs="Times New Roman"/>
          <w:iCs/>
          <w:color w:val="000000"/>
          <w:spacing w:val="-2"/>
          <w:sz w:val="32"/>
          <w:szCs w:val="32"/>
          <w:lang w:val="zh-CN" w:bidi="zh-CN"/>
        </w:rPr>
        <w:t>福建省住房和城乡建设厅</w:t>
      </w:r>
    </w:p>
    <w:p w14:paraId="3709BF55">
      <w:pPr>
        <w:spacing w:line="360" w:lineRule="auto"/>
        <w:jc w:val="center"/>
        <w:rPr>
          <w:rFonts w:hint="default" w:ascii="Times New Roman" w:hAnsi="Times New Roman" w:eastAsia="楷体_GB2312" w:cs="Times New Roman"/>
          <w:b/>
          <w:bCs/>
          <w:kern w:val="44"/>
          <w:sz w:val="32"/>
          <w:szCs w:val="32"/>
          <w:lang w:val="zh-CN" w:bidi="zh-CN"/>
        </w:rPr>
      </w:pPr>
      <w:r>
        <w:rPr>
          <w:rFonts w:hint="default" w:ascii="Times New Roman" w:hAnsi="Times New Roman" w:eastAsia="楷体_GB2312" w:cs="Times New Roman"/>
          <w:iCs/>
          <w:color w:val="000000"/>
          <w:spacing w:val="-2"/>
          <w:sz w:val="32"/>
          <w:szCs w:val="32"/>
          <w:lang w:val="zh-CN" w:bidi="zh-CN"/>
        </w:rPr>
        <w:t>2023年8月</w:t>
      </w:r>
      <w:r>
        <w:rPr>
          <w:rFonts w:hint="default" w:ascii="Times New Roman" w:hAnsi="Times New Roman" w:eastAsia="楷体_GB2312" w:cs="Times New Roman"/>
          <w:sz w:val="32"/>
          <w:szCs w:val="32"/>
          <w:lang w:val="zh-CN" w:bidi="zh-CN"/>
        </w:rPr>
        <w:br w:type="page"/>
      </w:r>
    </w:p>
    <w:p w14:paraId="31304540">
      <w:pPr>
        <w:pStyle w:val="103"/>
        <w:keepNext/>
        <w:keepLines/>
        <w:pageBreakBefore w:val="0"/>
        <w:widowControl/>
        <w:kinsoku/>
        <w:wordWrap/>
        <w:overflowPunct/>
        <w:topLinePunct w:val="0"/>
        <w:autoSpaceDE/>
        <w:autoSpaceDN/>
        <w:bidi w:val="0"/>
        <w:adjustRightInd/>
        <w:snapToGrid/>
        <w:spacing w:before="0" w:line="500" w:lineRule="exact"/>
        <w:ind w:left="420" w:hanging="420"/>
        <w:jc w:val="center"/>
        <w:textAlignment w:val="auto"/>
        <w:rPr>
          <w:rFonts w:hint="default" w:ascii="Times New Roman" w:hAnsi="Times New Roman" w:eastAsia="方正小标宋简体" w:cs="Times New Roman"/>
          <w:b w:val="0"/>
          <w:bCs w:val="0"/>
          <w:color w:val="000000"/>
          <w:sz w:val="40"/>
          <w:szCs w:val="40"/>
          <w:lang w:val="zh-CN"/>
        </w:rPr>
      </w:pPr>
      <w:r>
        <w:rPr>
          <w:rFonts w:hint="default" w:ascii="Times New Roman" w:hAnsi="Times New Roman" w:eastAsia="方正小标宋简体" w:cs="Times New Roman"/>
          <w:b w:val="0"/>
          <w:bCs w:val="0"/>
          <w:color w:val="000000"/>
          <w:sz w:val="40"/>
          <w:szCs w:val="40"/>
          <w:lang w:val="zh-CN"/>
        </w:rPr>
        <w:t>前  言</w:t>
      </w:r>
    </w:p>
    <w:p w14:paraId="7EAB6F36">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default" w:ascii="Times New Roman" w:hAnsi="Times New Roman" w:eastAsia="仿宋_GB2312" w:cs="Times New Roman"/>
          <w:iCs/>
          <w:color w:val="000000"/>
          <w:spacing w:val="-2"/>
          <w:sz w:val="32"/>
          <w:szCs w:val="32"/>
          <w:lang w:val="zh-CN" w:bidi="zh-CN"/>
        </w:rPr>
      </w:pPr>
    </w:p>
    <w:p w14:paraId="65B1C552">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default" w:ascii="Times New Roman" w:hAnsi="Times New Roman" w:eastAsia="仿宋_GB2312" w:cs="Times New Roman"/>
          <w:iCs/>
          <w:color w:val="000000"/>
          <w:spacing w:val="-2"/>
          <w:sz w:val="32"/>
          <w:szCs w:val="32"/>
          <w:lang w:val="zh-CN" w:bidi="zh-CN"/>
        </w:rPr>
      </w:pPr>
      <w:r>
        <w:rPr>
          <w:rFonts w:hint="default" w:ascii="Times New Roman" w:hAnsi="Times New Roman" w:eastAsia="仿宋_GB2312" w:cs="Times New Roman"/>
          <w:iCs/>
          <w:color w:val="000000"/>
          <w:spacing w:val="-2"/>
          <w:sz w:val="32"/>
          <w:szCs w:val="32"/>
          <w:lang w:val="zh-CN" w:bidi="zh-CN"/>
        </w:rPr>
        <w:t>为深入贯彻</w:t>
      </w:r>
      <w:r>
        <w:rPr>
          <w:rFonts w:hint="default" w:ascii="Times New Roman" w:hAnsi="Times New Roman" w:eastAsia="仿宋_GB2312" w:cs="Times New Roman"/>
          <w:iCs/>
          <w:spacing w:val="-2"/>
          <w:sz w:val="32"/>
          <w:szCs w:val="32"/>
          <w:lang w:val="zh-CN" w:bidi="zh-CN"/>
        </w:rPr>
        <w:t>中央全面深化改革委员会关于建立城市体检评估机制的改革部署，落实《中共中央办公厅 国务院办公厅关于推动城乡建设绿色发展的意见》（中办发〔2021〕37号）关于建立城市体检评估制度相关要求，经广泛调查研究和总结城市体检实践经验，在广泛征求意见的</w:t>
      </w:r>
      <w:r>
        <w:rPr>
          <w:rFonts w:hint="default" w:ascii="Times New Roman" w:hAnsi="Times New Roman" w:eastAsia="仿宋_GB2312" w:cs="Times New Roman"/>
          <w:iCs/>
          <w:color w:val="000000"/>
          <w:spacing w:val="-2"/>
          <w:sz w:val="32"/>
          <w:szCs w:val="32"/>
          <w:lang w:val="zh-CN" w:bidi="zh-CN"/>
        </w:rPr>
        <w:t>基础上，制定本导则。</w:t>
      </w:r>
    </w:p>
    <w:p w14:paraId="5DF542B2">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default" w:ascii="Times New Roman" w:hAnsi="Times New Roman" w:eastAsia="仿宋_GB2312" w:cs="Times New Roman"/>
          <w:iCs/>
          <w:color w:val="000000"/>
          <w:spacing w:val="-2"/>
          <w:sz w:val="32"/>
          <w:szCs w:val="32"/>
          <w:lang w:val="zh-CN" w:bidi="zh-CN"/>
        </w:rPr>
      </w:pPr>
      <w:r>
        <w:rPr>
          <w:rFonts w:hint="default" w:ascii="Times New Roman" w:hAnsi="Times New Roman" w:eastAsia="仿宋_GB2312" w:cs="Times New Roman"/>
          <w:iCs/>
          <w:color w:val="000000"/>
          <w:spacing w:val="-2"/>
          <w:sz w:val="32"/>
          <w:szCs w:val="32"/>
          <w:lang w:val="zh-CN" w:bidi="zh-CN"/>
        </w:rPr>
        <w:t>本导则共分为4章，主要内容包括：总则、基本要求、城市体检内容与技术要点、城市体检成果与提交形式，并附具指标体系、指标数据调查表、城市自体检报告范本、城市第三方体检报告范本和社会满意度调查与评价工作手册。</w:t>
      </w:r>
    </w:p>
    <w:p w14:paraId="23462FD9">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default" w:ascii="Times New Roman" w:hAnsi="Times New Roman" w:eastAsia="仿宋_GB2312" w:cs="Times New Roman"/>
          <w:iCs/>
          <w:color w:val="000000"/>
          <w:spacing w:val="-2"/>
          <w:sz w:val="32"/>
          <w:szCs w:val="32"/>
          <w:lang w:val="zh-CN" w:bidi="zh-CN"/>
        </w:rPr>
      </w:pPr>
      <w:r>
        <w:rPr>
          <w:rFonts w:hint="default" w:ascii="Times New Roman" w:hAnsi="Times New Roman" w:eastAsia="仿宋_GB2312" w:cs="Times New Roman"/>
          <w:iCs/>
          <w:color w:val="000000"/>
          <w:spacing w:val="-2"/>
          <w:sz w:val="32"/>
          <w:szCs w:val="32"/>
          <w:lang w:val="zh-CN" w:bidi="zh-CN"/>
        </w:rPr>
        <w:t>本导则由住房和</w:t>
      </w:r>
      <w:r>
        <w:rPr>
          <w:rFonts w:hint="default" w:ascii="Times New Roman" w:hAnsi="Times New Roman" w:eastAsia="仿宋_GB2312" w:cs="Times New Roman"/>
          <w:iCs/>
          <w:color w:val="000000"/>
          <w:spacing w:val="-2"/>
          <w:sz w:val="32"/>
          <w:szCs w:val="32"/>
          <w:lang w:bidi="zh-CN"/>
        </w:rPr>
        <w:t>城乡</w:t>
      </w:r>
      <w:r>
        <w:rPr>
          <w:rFonts w:hint="default" w:ascii="Times New Roman" w:hAnsi="Times New Roman" w:eastAsia="仿宋_GB2312" w:cs="Times New Roman"/>
          <w:iCs/>
          <w:color w:val="000000"/>
          <w:spacing w:val="-2"/>
          <w:sz w:val="32"/>
          <w:szCs w:val="32"/>
          <w:lang w:val="zh-CN" w:bidi="zh-CN"/>
        </w:rPr>
        <w:t>建设厅组织编制，由福建省城乡规划设计研究院负责具体技术内容的解释。执行过程中如有意见和建议，请寄送至福建省住房和城乡建设厅城建处（地址：福州市北大路242号，邮编：350001）和福建省城乡规划设计研究院（地址：福州市仓山区亭洲路6号，邮编：350008），以供今后修订参考。</w:t>
      </w:r>
    </w:p>
    <w:p w14:paraId="1510F3A8">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default" w:ascii="Times New Roman" w:hAnsi="Times New Roman" w:eastAsia="仿宋_GB2312" w:cs="Times New Roman"/>
          <w:iCs/>
          <w:color w:val="000000"/>
          <w:spacing w:val="-2"/>
          <w:sz w:val="32"/>
          <w:szCs w:val="32"/>
          <w:lang w:val="zh-CN" w:bidi="zh-CN"/>
        </w:rPr>
      </w:pPr>
      <w:r>
        <w:rPr>
          <w:rFonts w:hint="default" w:ascii="Times New Roman" w:hAnsi="Times New Roman" w:eastAsia="仿宋_GB2312" w:cs="Times New Roman"/>
          <w:iCs/>
          <w:color w:val="000000"/>
          <w:spacing w:val="-2"/>
          <w:sz w:val="32"/>
          <w:szCs w:val="32"/>
          <w:lang w:val="zh-CN" w:bidi="zh-CN"/>
        </w:rPr>
        <w:t>编制单位： 福建省城乡规划设计研究院</w:t>
      </w:r>
    </w:p>
    <w:p w14:paraId="02AC4499">
      <w:pPr>
        <w:keepNext w:val="0"/>
        <w:keepLines w:val="0"/>
        <w:pageBreakBefore w:val="0"/>
        <w:widowControl w:val="0"/>
        <w:kinsoku/>
        <w:wordWrap/>
        <w:overflowPunct/>
        <w:topLinePunct w:val="0"/>
        <w:autoSpaceDE/>
        <w:autoSpaceDN/>
        <w:bidi w:val="0"/>
        <w:adjustRightInd/>
        <w:snapToGrid/>
        <w:spacing w:line="520" w:lineRule="exact"/>
        <w:ind w:firstLine="632"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iCs/>
          <w:spacing w:val="-2"/>
          <w:sz w:val="32"/>
          <w:szCs w:val="32"/>
          <w:lang w:val="zh-CN" w:bidi="zh-CN"/>
        </w:rPr>
        <w:t>主要编制人员：</w:t>
      </w:r>
      <w:r>
        <w:rPr>
          <w:rFonts w:hint="default" w:ascii="Times New Roman" w:hAnsi="Times New Roman" w:eastAsia="仿宋_GB2312" w:cs="Times New Roman"/>
          <w:sz w:val="32"/>
          <w:szCs w:val="32"/>
        </w:rPr>
        <w:t>李丹青 张利 陈明发 谢建和 秦瑜洁 邹惠珍 钟嵘 蔡爱玲 曾元恒 郑承智 黄兆函 肖林橙 胡静云 吴在栋 陆珍 郭螣昕 余增涛 李芳</w:t>
      </w:r>
    </w:p>
    <w:p w14:paraId="095FBFA1">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560"/>
        <w:textAlignment w:val="auto"/>
        <w:rPr>
          <w:rFonts w:hint="default" w:ascii="Times New Roman" w:hAnsi="Times New Roman" w:eastAsia="仿宋_GB2312" w:cs="Times New Roman"/>
          <w:sz w:val="32"/>
          <w:szCs w:val="32"/>
        </w:rPr>
        <w:sectPr>
          <w:footerReference r:id="rId3" w:type="default"/>
          <w:pgSz w:w="11910" w:h="16840"/>
          <w:pgMar w:top="1542" w:right="1400" w:bottom="1259" w:left="1678" w:header="0" w:footer="1060" w:gutter="0"/>
          <w:pgNumType w:start="1"/>
          <w:cols w:space="720" w:num="1"/>
        </w:sectPr>
      </w:pPr>
      <w:r>
        <w:rPr>
          <w:rFonts w:hint="default" w:ascii="Times New Roman" w:hAnsi="Times New Roman" w:eastAsia="仿宋_GB2312" w:cs="Times New Roman"/>
          <w:iCs/>
          <w:spacing w:val="-2"/>
          <w:sz w:val="32"/>
          <w:szCs w:val="32"/>
          <w:lang w:val="zh-CN" w:bidi="zh-CN"/>
        </w:rPr>
        <w:t>主要</w:t>
      </w:r>
      <w:r>
        <w:rPr>
          <w:rFonts w:hint="default" w:ascii="Times New Roman" w:hAnsi="Times New Roman" w:eastAsia="仿宋_GB2312" w:cs="Times New Roman"/>
          <w:sz w:val="32"/>
          <w:szCs w:val="32"/>
        </w:rPr>
        <w:t xml:space="preserve">审核人员：江泳 </w:t>
      </w:r>
      <w:r>
        <w:rPr>
          <w:rFonts w:hint="default" w:ascii="Times New Roman" w:hAnsi="Times New Roman" w:eastAsia="仿宋_GB2312" w:cs="Times New Roman"/>
          <w:iCs/>
          <w:spacing w:val="-2"/>
          <w:sz w:val="32"/>
          <w:szCs w:val="32"/>
          <w:lang w:val="zh-CN" w:bidi="zh-CN"/>
        </w:rPr>
        <w:t xml:space="preserve">张强 </w:t>
      </w:r>
      <w:r>
        <w:rPr>
          <w:rFonts w:hint="default" w:ascii="Times New Roman" w:hAnsi="Times New Roman" w:eastAsia="仿宋_GB2312" w:cs="Times New Roman"/>
          <w:sz w:val="32"/>
          <w:szCs w:val="32"/>
        </w:rPr>
        <w:t xml:space="preserve">王伟 </w:t>
      </w:r>
      <w:r>
        <w:rPr>
          <w:rFonts w:hint="default" w:ascii="Times New Roman" w:hAnsi="Times New Roman" w:eastAsia="仿宋_GB2312" w:cs="Times New Roman"/>
          <w:iCs/>
          <w:spacing w:val="-2"/>
          <w:sz w:val="32"/>
          <w:szCs w:val="32"/>
          <w:lang w:val="zh-CN" w:bidi="zh-CN"/>
        </w:rPr>
        <w:t xml:space="preserve">黄盛尚 </w:t>
      </w:r>
      <w:r>
        <w:rPr>
          <w:rFonts w:hint="default" w:ascii="Times New Roman" w:hAnsi="Times New Roman" w:eastAsia="仿宋_GB2312" w:cs="Times New Roman"/>
          <w:sz w:val="32"/>
          <w:szCs w:val="32"/>
        </w:rPr>
        <w:t xml:space="preserve">谢景琛 </w:t>
      </w:r>
      <w:r>
        <w:rPr>
          <w:rFonts w:hint="default" w:ascii="Times New Roman" w:hAnsi="Times New Roman" w:eastAsia="仿宋_GB2312" w:cs="Times New Roman"/>
          <w:iCs/>
          <w:spacing w:val="-2"/>
          <w:sz w:val="32"/>
          <w:szCs w:val="32"/>
          <w:lang w:val="zh-CN" w:bidi="zh-CN"/>
        </w:rPr>
        <w:t>蒋勇 苏莉 陈腾</w:t>
      </w:r>
    </w:p>
    <w:p w14:paraId="57846BF0">
      <w:pPr>
        <w:pStyle w:val="20"/>
        <w:tabs>
          <w:tab w:val="left" w:pos="420"/>
          <w:tab w:val="right" w:leader="dot" w:pos="8822"/>
        </w:tabs>
        <w:jc w:val="center"/>
        <w:rPr>
          <w:rFonts w:hint="default" w:ascii="Times New Roman" w:hAnsi="Times New Roman" w:eastAsia="仿宋" w:cs="Times New Roman"/>
          <w:i w:val="0"/>
          <w:color w:val="000000"/>
          <w:sz w:val="40"/>
          <w:szCs w:val="28"/>
          <w:lang w:val="zh-CN"/>
        </w:rPr>
      </w:pPr>
      <w:r>
        <w:rPr>
          <w:rFonts w:hint="default" w:ascii="Times New Roman" w:hAnsi="Times New Roman" w:eastAsia="仿宋" w:cs="Times New Roman"/>
          <w:i w:val="0"/>
          <w:color w:val="000000"/>
          <w:sz w:val="40"/>
          <w:szCs w:val="28"/>
          <w:lang w:val="zh-CN"/>
        </w:rPr>
        <w:t>目  录</w:t>
      </w:r>
    </w:p>
    <w:p w14:paraId="22CC55EE">
      <w:pPr>
        <w:pStyle w:val="20"/>
        <w:tabs>
          <w:tab w:val="right" w:leader="dot" w:pos="8832"/>
        </w:tabs>
        <w:rPr>
          <w:rFonts w:hint="default" w:ascii="Times New Roman" w:hAnsi="Times New Roman" w:cs="Times New Roman"/>
          <w:sz w:val="28"/>
          <w:szCs w:val="28"/>
        </w:rPr>
      </w:pPr>
      <w:r>
        <w:rPr>
          <w:rStyle w:val="33"/>
          <w:rFonts w:hint="default" w:ascii="Times New Roman" w:hAnsi="Times New Roman" w:eastAsia="仿宋_GB2312" w:cs="Times New Roman"/>
          <w:b w:val="0"/>
          <w:i w:val="0"/>
          <w:iCs w:val="0"/>
          <w:color w:val="000000"/>
          <w:sz w:val="28"/>
          <w:szCs w:val="28"/>
        </w:rPr>
        <w:fldChar w:fldCharType="begin"/>
      </w:r>
      <w:r>
        <w:rPr>
          <w:rStyle w:val="33"/>
          <w:rFonts w:hint="default" w:ascii="Times New Roman" w:hAnsi="Times New Roman" w:eastAsia="仿宋_GB2312" w:cs="Times New Roman"/>
          <w:b w:val="0"/>
          <w:i w:val="0"/>
          <w:color w:val="000000"/>
          <w:sz w:val="28"/>
          <w:szCs w:val="28"/>
        </w:rPr>
        <w:instrText xml:space="preserve">TOC \o "1-3" \h \z \u</w:instrText>
      </w:r>
      <w:r>
        <w:rPr>
          <w:rStyle w:val="33"/>
          <w:rFonts w:hint="default" w:ascii="Times New Roman" w:hAnsi="Times New Roman" w:eastAsia="仿宋_GB2312" w:cs="Times New Roman"/>
          <w:b w:val="0"/>
          <w:i w:val="0"/>
          <w:iCs w:val="0"/>
          <w:color w:val="000000"/>
          <w:sz w:val="28"/>
          <w:szCs w:val="28"/>
        </w:rPr>
        <w:fldChar w:fldCharType="separate"/>
      </w:r>
      <w:r>
        <w:rPr>
          <w:rFonts w:hint="default" w:ascii="Times New Roman" w:hAnsi="Times New Roman" w:eastAsia="仿宋_GB2312" w:cs="Times New Roman"/>
          <w:i w:val="0"/>
          <w:iCs w:val="0"/>
          <w:color w:val="000000"/>
          <w:sz w:val="28"/>
          <w:szCs w:val="28"/>
        </w:rPr>
        <w:fldChar w:fldCharType="begin"/>
      </w:r>
      <w:r>
        <w:rPr>
          <w:rFonts w:hint="default" w:ascii="Times New Roman" w:hAnsi="Times New Roman" w:eastAsia="仿宋_GB2312" w:cs="Times New Roman"/>
          <w:i w:val="0"/>
          <w:iCs w:val="0"/>
          <w:sz w:val="28"/>
          <w:szCs w:val="28"/>
        </w:rPr>
        <w:instrText xml:space="preserve"> HYPERLINK \l _Toc518001361 </w:instrText>
      </w:r>
      <w:r>
        <w:rPr>
          <w:rFonts w:hint="default" w:ascii="Times New Roman" w:hAnsi="Times New Roman" w:eastAsia="仿宋_GB2312" w:cs="Times New Roman"/>
          <w:i w:val="0"/>
          <w:iCs w:val="0"/>
          <w:sz w:val="28"/>
          <w:szCs w:val="28"/>
        </w:rPr>
        <w:fldChar w:fldCharType="separate"/>
      </w:r>
      <w:r>
        <w:rPr>
          <w:rFonts w:hint="default" w:ascii="Times New Roman" w:hAnsi="Times New Roman" w:eastAsia="仿宋_GB2312" w:cs="Times New Roman"/>
          <w:i w:val="0"/>
          <w:iCs w:val="0"/>
          <w:sz w:val="28"/>
          <w:szCs w:val="28"/>
        </w:rPr>
        <w:t>1. 总则</w:t>
      </w:r>
      <w:r>
        <w:rPr>
          <w:rFonts w:hint="default" w:ascii="Times New Roman" w:hAnsi="Times New Roman" w:cs="Times New Roman"/>
          <w:i w:val="0"/>
          <w:iCs w:val="0"/>
          <w:sz w:val="28"/>
          <w:szCs w:val="28"/>
        </w:rPr>
        <w:tab/>
      </w:r>
      <w:r>
        <w:rPr>
          <w:rFonts w:hint="default" w:ascii="Times New Roman" w:hAnsi="Times New Roman" w:cs="Times New Roman"/>
          <w:i w:val="0"/>
          <w:iCs w:val="0"/>
          <w:sz w:val="28"/>
          <w:szCs w:val="28"/>
        </w:rPr>
        <w:fldChar w:fldCharType="begin"/>
      </w:r>
      <w:r>
        <w:rPr>
          <w:rFonts w:hint="default" w:ascii="Times New Roman" w:hAnsi="Times New Roman" w:cs="Times New Roman"/>
          <w:i w:val="0"/>
          <w:iCs w:val="0"/>
          <w:sz w:val="28"/>
          <w:szCs w:val="28"/>
        </w:rPr>
        <w:instrText xml:space="preserve"> PAGEREF _Toc518001361 \h </w:instrText>
      </w:r>
      <w:r>
        <w:rPr>
          <w:rFonts w:hint="default" w:ascii="Times New Roman" w:hAnsi="Times New Roman" w:cs="Times New Roman"/>
          <w:i w:val="0"/>
          <w:iCs w:val="0"/>
          <w:sz w:val="28"/>
          <w:szCs w:val="28"/>
        </w:rPr>
        <w:fldChar w:fldCharType="separate"/>
      </w:r>
      <w:r>
        <w:rPr>
          <w:rFonts w:hint="default" w:ascii="Times New Roman" w:hAnsi="Times New Roman" w:cs="Times New Roman"/>
          <w:i w:val="0"/>
          <w:iCs w:val="0"/>
          <w:sz w:val="28"/>
          <w:szCs w:val="28"/>
        </w:rPr>
        <w:t>1</w:t>
      </w:r>
      <w:r>
        <w:rPr>
          <w:rFonts w:hint="default" w:ascii="Times New Roman" w:hAnsi="Times New Roman" w:cs="Times New Roman"/>
          <w:i w:val="0"/>
          <w:iCs w:val="0"/>
          <w:sz w:val="28"/>
          <w:szCs w:val="28"/>
        </w:rPr>
        <w:fldChar w:fldCharType="end"/>
      </w:r>
      <w:r>
        <w:rPr>
          <w:rFonts w:hint="default" w:ascii="Times New Roman" w:hAnsi="Times New Roman" w:eastAsia="仿宋_GB2312" w:cs="Times New Roman"/>
          <w:i w:val="0"/>
          <w:iCs w:val="0"/>
          <w:color w:val="000000"/>
          <w:sz w:val="28"/>
          <w:szCs w:val="28"/>
        </w:rPr>
        <w:fldChar w:fldCharType="end"/>
      </w:r>
    </w:p>
    <w:p w14:paraId="18809760">
      <w:pPr>
        <w:pStyle w:val="24"/>
        <w:tabs>
          <w:tab w:val="right" w:leader="dot" w:pos="8832"/>
        </w:tabs>
        <w:rPr>
          <w:rFonts w:hint="default" w:ascii="Times New Roman" w:hAnsi="Times New Roman" w:cs="Times New Roman"/>
        </w:rPr>
      </w:pPr>
      <w:r>
        <w:rPr>
          <w:rFonts w:hint="default" w:ascii="Times New Roman" w:hAnsi="Times New Roman" w:eastAsia="仿宋_GB2312" w:cs="Times New Roman"/>
          <w:i w:val="0"/>
          <w:color w:val="000000"/>
          <w:szCs w:val="28"/>
        </w:rPr>
        <w:fldChar w:fldCharType="begin"/>
      </w:r>
      <w:r>
        <w:rPr>
          <w:rFonts w:hint="default" w:ascii="Times New Roman" w:hAnsi="Times New Roman" w:eastAsia="仿宋_GB2312" w:cs="Times New Roman"/>
          <w:i w:val="0"/>
          <w:szCs w:val="28"/>
        </w:rPr>
        <w:instrText xml:space="preserve"> HYPERLINK \l _Toc1837050542 </w:instrText>
      </w:r>
      <w:r>
        <w:rPr>
          <w:rFonts w:hint="default" w:ascii="Times New Roman" w:hAnsi="Times New Roman" w:eastAsia="仿宋_GB2312" w:cs="Times New Roman"/>
          <w:i w:val="0"/>
          <w:szCs w:val="28"/>
        </w:rPr>
        <w:fldChar w:fldCharType="separate"/>
      </w:r>
      <w:r>
        <w:rPr>
          <w:rFonts w:hint="default" w:ascii="Times New Roman" w:hAnsi="Times New Roman" w:eastAsia="仿宋_GB2312" w:cs="Times New Roman"/>
          <w:szCs w:val="32"/>
        </w:rPr>
        <w:t>1.1 编制目的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_Toc1837050542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eastAsia="仿宋_GB2312" w:cs="Times New Roman"/>
          <w:i w:val="0"/>
          <w:color w:val="000000"/>
          <w:szCs w:val="28"/>
        </w:rPr>
        <w:fldChar w:fldCharType="end"/>
      </w:r>
    </w:p>
    <w:p w14:paraId="45D09890">
      <w:pPr>
        <w:pStyle w:val="24"/>
        <w:tabs>
          <w:tab w:val="right" w:leader="dot" w:pos="8832"/>
        </w:tabs>
        <w:rPr>
          <w:rFonts w:hint="default" w:ascii="Times New Roman" w:hAnsi="Times New Roman" w:cs="Times New Roman"/>
        </w:rPr>
      </w:pPr>
      <w:r>
        <w:rPr>
          <w:rFonts w:hint="default" w:ascii="Times New Roman" w:hAnsi="Times New Roman" w:eastAsia="仿宋_GB2312" w:cs="Times New Roman"/>
          <w:i w:val="0"/>
          <w:color w:val="000000"/>
          <w:szCs w:val="28"/>
        </w:rPr>
        <w:fldChar w:fldCharType="begin"/>
      </w:r>
      <w:r>
        <w:rPr>
          <w:rFonts w:hint="default" w:ascii="Times New Roman" w:hAnsi="Times New Roman" w:eastAsia="仿宋_GB2312" w:cs="Times New Roman"/>
          <w:i w:val="0"/>
          <w:szCs w:val="28"/>
        </w:rPr>
        <w:instrText xml:space="preserve"> HYPERLINK \l _Toc801892542 </w:instrText>
      </w:r>
      <w:r>
        <w:rPr>
          <w:rFonts w:hint="default" w:ascii="Times New Roman" w:hAnsi="Times New Roman" w:eastAsia="仿宋_GB2312" w:cs="Times New Roman"/>
          <w:i w:val="0"/>
          <w:szCs w:val="28"/>
        </w:rPr>
        <w:fldChar w:fldCharType="separate"/>
      </w:r>
      <w:r>
        <w:rPr>
          <w:rFonts w:hint="default" w:ascii="Times New Roman" w:hAnsi="Times New Roman" w:eastAsia="仿宋_GB2312" w:cs="Times New Roman"/>
          <w:szCs w:val="32"/>
        </w:rPr>
        <w:t>1.2 适用范围</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_Toc801892542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eastAsia="仿宋_GB2312" w:cs="Times New Roman"/>
          <w:i w:val="0"/>
          <w:color w:val="000000"/>
          <w:szCs w:val="28"/>
        </w:rPr>
        <w:fldChar w:fldCharType="end"/>
      </w:r>
    </w:p>
    <w:p w14:paraId="6A8CC286">
      <w:pPr>
        <w:pStyle w:val="24"/>
        <w:tabs>
          <w:tab w:val="right" w:leader="dot" w:pos="8832"/>
        </w:tabs>
        <w:rPr>
          <w:rFonts w:hint="default" w:ascii="Times New Roman" w:hAnsi="Times New Roman" w:cs="Times New Roman"/>
        </w:rPr>
      </w:pPr>
      <w:r>
        <w:rPr>
          <w:rFonts w:hint="default" w:ascii="Times New Roman" w:hAnsi="Times New Roman" w:eastAsia="仿宋_GB2312" w:cs="Times New Roman"/>
          <w:i w:val="0"/>
          <w:color w:val="000000"/>
          <w:szCs w:val="28"/>
        </w:rPr>
        <w:fldChar w:fldCharType="begin"/>
      </w:r>
      <w:r>
        <w:rPr>
          <w:rFonts w:hint="default" w:ascii="Times New Roman" w:hAnsi="Times New Roman" w:eastAsia="仿宋_GB2312" w:cs="Times New Roman"/>
          <w:i w:val="0"/>
          <w:szCs w:val="28"/>
        </w:rPr>
        <w:instrText xml:space="preserve"> HYPERLINK \l _Toc770893864 </w:instrText>
      </w:r>
      <w:r>
        <w:rPr>
          <w:rFonts w:hint="default" w:ascii="Times New Roman" w:hAnsi="Times New Roman" w:eastAsia="仿宋_GB2312" w:cs="Times New Roman"/>
          <w:i w:val="0"/>
          <w:szCs w:val="28"/>
        </w:rPr>
        <w:fldChar w:fldCharType="separate"/>
      </w:r>
      <w:r>
        <w:rPr>
          <w:rFonts w:hint="default" w:ascii="Times New Roman" w:hAnsi="Times New Roman" w:eastAsia="仿宋_GB2312" w:cs="Times New Roman"/>
          <w:szCs w:val="32"/>
        </w:rPr>
        <w:t>1.3 工作目标</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_Toc770893864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eastAsia="仿宋_GB2312" w:cs="Times New Roman"/>
          <w:i w:val="0"/>
          <w:color w:val="000000"/>
          <w:szCs w:val="28"/>
        </w:rPr>
        <w:fldChar w:fldCharType="end"/>
      </w:r>
    </w:p>
    <w:p w14:paraId="4BDE054E">
      <w:pPr>
        <w:pStyle w:val="20"/>
        <w:tabs>
          <w:tab w:val="right" w:leader="dot" w:pos="8832"/>
        </w:tabs>
        <w:rPr>
          <w:rFonts w:hint="default" w:ascii="Times New Roman" w:hAnsi="Times New Roman" w:eastAsia="仿宋_GB2312" w:cs="Times New Roman"/>
          <w:i w:val="0"/>
          <w:iCs w:val="0"/>
          <w:color w:val="000000"/>
          <w:sz w:val="28"/>
          <w:szCs w:val="28"/>
        </w:rPr>
      </w:pPr>
      <w:r>
        <w:rPr>
          <w:rFonts w:hint="default" w:ascii="Times New Roman" w:hAnsi="Times New Roman" w:eastAsia="仿宋_GB2312" w:cs="Times New Roman"/>
          <w:i w:val="0"/>
          <w:iCs w:val="0"/>
          <w:color w:val="000000"/>
          <w:sz w:val="28"/>
          <w:szCs w:val="28"/>
        </w:rPr>
        <w:fldChar w:fldCharType="begin"/>
      </w:r>
      <w:r>
        <w:rPr>
          <w:rFonts w:hint="default" w:ascii="Times New Roman" w:hAnsi="Times New Roman" w:eastAsia="仿宋_GB2312" w:cs="Times New Roman"/>
          <w:i w:val="0"/>
          <w:iCs w:val="0"/>
          <w:color w:val="000000"/>
          <w:sz w:val="28"/>
          <w:szCs w:val="28"/>
        </w:rPr>
        <w:instrText xml:space="preserve"> HYPERLINK \l _Toc189183117 </w:instrText>
      </w:r>
      <w:r>
        <w:rPr>
          <w:rFonts w:hint="default" w:ascii="Times New Roman" w:hAnsi="Times New Roman" w:eastAsia="仿宋_GB2312" w:cs="Times New Roman"/>
          <w:i w:val="0"/>
          <w:iCs w:val="0"/>
          <w:color w:val="000000"/>
          <w:sz w:val="28"/>
          <w:szCs w:val="28"/>
        </w:rPr>
        <w:fldChar w:fldCharType="separate"/>
      </w:r>
      <w:r>
        <w:rPr>
          <w:rFonts w:hint="default" w:ascii="Times New Roman" w:hAnsi="Times New Roman" w:eastAsia="仿宋_GB2312" w:cs="Times New Roman"/>
          <w:i w:val="0"/>
          <w:iCs w:val="0"/>
          <w:color w:val="000000"/>
          <w:sz w:val="28"/>
          <w:szCs w:val="28"/>
        </w:rPr>
        <w:t>2. 基本要求</w:t>
      </w:r>
      <w:r>
        <w:rPr>
          <w:rFonts w:hint="default" w:ascii="Times New Roman" w:hAnsi="Times New Roman" w:eastAsia="仿宋_GB2312" w:cs="Times New Roman"/>
          <w:i w:val="0"/>
          <w:iCs w:val="0"/>
          <w:color w:val="000000"/>
          <w:sz w:val="28"/>
          <w:szCs w:val="28"/>
        </w:rPr>
        <w:tab/>
      </w:r>
      <w:r>
        <w:rPr>
          <w:rFonts w:hint="default" w:ascii="Times New Roman" w:hAnsi="Times New Roman" w:eastAsia="仿宋_GB2312" w:cs="Times New Roman"/>
          <w:i w:val="0"/>
          <w:iCs w:val="0"/>
          <w:color w:val="000000"/>
          <w:sz w:val="28"/>
          <w:szCs w:val="28"/>
        </w:rPr>
        <w:fldChar w:fldCharType="begin"/>
      </w:r>
      <w:r>
        <w:rPr>
          <w:rFonts w:hint="default" w:ascii="Times New Roman" w:hAnsi="Times New Roman" w:eastAsia="仿宋_GB2312" w:cs="Times New Roman"/>
          <w:i w:val="0"/>
          <w:iCs w:val="0"/>
          <w:color w:val="000000"/>
          <w:sz w:val="28"/>
          <w:szCs w:val="28"/>
        </w:rPr>
        <w:instrText xml:space="preserve"> PAGEREF _Toc189183117 \h </w:instrText>
      </w:r>
      <w:r>
        <w:rPr>
          <w:rFonts w:hint="default" w:ascii="Times New Roman" w:hAnsi="Times New Roman" w:eastAsia="仿宋_GB2312" w:cs="Times New Roman"/>
          <w:i w:val="0"/>
          <w:iCs w:val="0"/>
          <w:color w:val="000000"/>
          <w:sz w:val="28"/>
          <w:szCs w:val="28"/>
        </w:rPr>
        <w:fldChar w:fldCharType="separate"/>
      </w:r>
      <w:r>
        <w:rPr>
          <w:rFonts w:hint="default" w:ascii="Times New Roman" w:hAnsi="Times New Roman" w:eastAsia="仿宋_GB2312" w:cs="Times New Roman"/>
          <w:i w:val="0"/>
          <w:iCs w:val="0"/>
          <w:color w:val="000000"/>
          <w:sz w:val="28"/>
          <w:szCs w:val="28"/>
        </w:rPr>
        <w:t>2</w:t>
      </w:r>
      <w:r>
        <w:rPr>
          <w:rFonts w:hint="default" w:ascii="Times New Roman" w:hAnsi="Times New Roman" w:eastAsia="仿宋_GB2312" w:cs="Times New Roman"/>
          <w:i w:val="0"/>
          <w:iCs w:val="0"/>
          <w:color w:val="000000"/>
          <w:sz w:val="28"/>
          <w:szCs w:val="28"/>
        </w:rPr>
        <w:fldChar w:fldCharType="end"/>
      </w:r>
      <w:r>
        <w:rPr>
          <w:rFonts w:hint="default" w:ascii="Times New Roman" w:hAnsi="Times New Roman" w:eastAsia="仿宋_GB2312" w:cs="Times New Roman"/>
          <w:i w:val="0"/>
          <w:iCs w:val="0"/>
          <w:color w:val="000000"/>
          <w:sz w:val="28"/>
          <w:szCs w:val="28"/>
        </w:rPr>
        <w:fldChar w:fldCharType="end"/>
      </w:r>
    </w:p>
    <w:p w14:paraId="3E82DB87">
      <w:pPr>
        <w:pStyle w:val="24"/>
        <w:tabs>
          <w:tab w:val="right" w:leader="dot" w:pos="8832"/>
        </w:tabs>
        <w:rPr>
          <w:rFonts w:hint="default" w:ascii="Times New Roman" w:hAnsi="Times New Roman" w:cs="Times New Roman"/>
        </w:rPr>
      </w:pPr>
      <w:r>
        <w:rPr>
          <w:rFonts w:hint="default" w:ascii="Times New Roman" w:hAnsi="Times New Roman" w:eastAsia="仿宋_GB2312" w:cs="Times New Roman"/>
          <w:i w:val="0"/>
          <w:color w:val="000000"/>
          <w:szCs w:val="28"/>
        </w:rPr>
        <w:fldChar w:fldCharType="begin"/>
      </w:r>
      <w:r>
        <w:rPr>
          <w:rFonts w:hint="default" w:ascii="Times New Roman" w:hAnsi="Times New Roman" w:eastAsia="仿宋_GB2312" w:cs="Times New Roman"/>
          <w:i w:val="0"/>
          <w:szCs w:val="28"/>
        </w:rPr>
        <w:instrText xml:space="preserve"> HYPERLINK \l _Toc2124530510 </w:instrText>
      </w:r>
      <w:r>
        <w:rPr>
          <w:rFonts w:hint="default" w:ascii="Times New Roman" w:hAnsi="Times New Roman" w:eastAsia="仿宋_GB2312" w:cs="Times New Roman"/>
          <w:i w:val="0"/>
          <w:szCs w:val="28"/>
        </w:rPr>
        <w:fldChar w:fldCharType="separate"/>
      </w:r>
      <w:r>
        <w:rPr>
          <w:rFonts w:hint="default" w:ascii="Times New Roman" w:hAnsi="Times New Roman" w:eastAsia="仿宋_GB2312" w:cs="Times New Roman"/>
          <w:szCs w:val="32"/>
        </w:rPr>
        <w:t>2.1 工作原则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_Toc2124530510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eastAsia="仿宋_GB2312" w:cs="Times New Roman"/>
          <w:i w:val="0"/>
          <w:color w:val="000000"/>
          <w:szCs w:val="28"/>
        </w:rPr>
        <w:fldChar w:fldCharType="end"/>
      </w:r>
    </w:p>
    <w:p w14:paraId="572080BB">
      <w:pPr>
        <w:pStyle w:val="24"/>
        <w:tabs>
          <w:tab w:val="right" w:leader="dot" w:pos="8832"/>
        </w:tabs>
        <w:rPr>
          <w:rFonts w:hint="default" w:ascii="Times New Roman" w:hAnsi="Times New Roman" w:cs="Times New Roman"/>
        </w:rPr>
      </w:pPr>
      <w:r>
        <w:rPr>
          <w:rFonts w:hint="default" w:ascii="Times New Roman" w:hAnsi="Times New Roman" w:eastAsia="仿宋_GB2312" w:cs="Times New Roman"/>
          <w:i w:val="0"/>
          <w:color w:val="000000"/>
          <w:szCs w:val="28"/>
        </w:rPr>
        <w:fldChar w:fldCharType="begin"/>
      </w:r>
      <w:r>
        <w:rPr>
          <w:rFonts w:hint="default" w:ascii="Times New Roman" w:hAnsi="Times New Roman" w:eastAsia="仿宋_GB2312" w:cs="Times New Roman"/>
          <w:i w:val="0"/>
          <w:szCs w:val="28"/>
        </w:rPr>
        <w:instrText xml:space="preserve"> HYPERLINK \l _Toc694554033 </w:instrText>
      </w:r>
      <w:r>
        <w:rPr>
          <w:rFonts w:hint="default" w:ascii="Times New Roman" w:hAnsi="Times New Roman" w:eastAsia="仿宋_GB2312" w:cs="Times New Roman"/>
          <w:i w:val="0"/>
          <w:szCs w:val="28"/>
        </w:rPr>
        <w:fldChar w:fldCharType="separate"/>
      </w:r>
      <w:r>
        <w:rPr>
          <w:rFonts w:hint="default" w:ascii="Times New Roman" w:hAnsi="Times New Roman" w:eastAsia="仿宋_GB2312" w:cs="Times New Roman"/>
          <w:szCs w:val="32"/>
        </w:rPr>
        <w:t>2.2 工作组织</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_Toc694554033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eastAsia="仿宋_GB2312" w:cs="Times New Roman"/>
          <w:i w:val="0"/>
          <w:color w:val="000000"/>
          <w:szCs w:val="28"/>
        </w:rPr>
        <w:fldChar w:fldCharType="end"/>
      </w:r>
    </w:p>
    <w:p w14:paraId="2CC20FD7">
      <w:pPr>
        <w:pStyle w:val="24"/>
        <w:tabs>
          <w:tab w:val="right" w:leader="dot" w:pos="8832"/>
        </w:tabs>
        <w:rPr>
          <w:rFonts w:hint="default" w:ascii="Times New Roman" w:hAnsi="Times New Roman" w:cs="Times New Roman"/>
        </w:rPr>
      </w:pPr>
      <w:r>
        <w:rPr>
          <w:rFonts w:hint="default" w:ascii="Times New Roman" w:hAnsi="Times New Roman" w:eastAsia="仿宋_GB2312" w:cs="Times New Roman"/>
          <w:i w:val="0"/>
          <w:color w:val="000000"/>
          <w:szCs w:val="28"/>
        </w:rPr>
        <w:fldChar w:fldCharType="begin"/>
      </w:r>
      <w:r>
        <w:rPr>
          <w:rFonts w:hint="default" w:ascii="Times New Roman" w:hAnsi="Times New Roman" w:eastAsia="仿宋_GB2312" w:cs="Times New Roman"/>
          <w:i w:val="0"/>
          <w:szCs w:val="28"/>
        </w:rPr>
        <w:instrText xml:space="preserve"> HYPERLINK \l _Toc1366278413 </w:instrText>
      </w:r>
      <w:r>
        <w:rPr>
          <w:rFonts w:hint="default" w:ascii="Times New Roman" w:hAnsi="Times New Roman" w:eastAsia="仿宋_GB2312" w:cs="Times New Roman"/>
          <w:i w:val="0"/>
          <w:szCs w:val="28"/>
        </w:rPr>
        <w:fldChar w:fldCharType="separate"/>
      </w:r>
      <w:r>
        <w:rPr>
          <w:rFonts w:hint="default" w:ascii="Times New Roman" w:hAnsi="Times New Roman" w:eastAsia="仿宋_GB2312" w:cs="Times New Roman"/>
          <w:szCs w:val="32"/>
        </w:rPr>
        <w:t>2.3 工作流程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_Toc1366278413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eastAsia="仿宋_GB2312" w:cs="Times New Roman"/>
          <w:i w:val="0"/>
          <w:color w:val="000000"/>
          <w:szCs w:val="28"/>
        </w:rPr>
        <w:fldChar w:fldCharType="end"/>
      </w:r>
    </w:p>
    <w:p w14:paraId="6D9ECD41">
      <w:pPr>
        <w:pStyle w:val="24"/>
        <w:tabs>
          <w:tab w:val="right" w:leader="dot" w:pos="8832"/>
        </w:tabs>
        <w:rPr>
          <w:rFonts w:hint="default" w:ascii="Times New Roman" w:hAnsi="Times New Roman" w:cs="Times New Roman"/>
        </w:rPr>
      </w:pPr>
      <w:r>
        <w:rPr>
          <w:rFonts w:hint="default" w:ascii="Times New Roman" w:hAnsi="Times New Roman" w:eastAsia="仿宋_GB2312" w:cs="Times New Roman"/>
          <w:i w:val="0"/>
          <w:color w:val="000000"/>
          <w:szCs w:val="28"/>
        </w:rPr>
        <w:fldChar w:fldCharType="begin"/>
      </w:r>
      <w:r>
        <w:rPr>
          <w:rFonts w:hint="default" w:ascii="Times New Roman" w:hAnsi="Times New Roman" w:eastAsia="仿宋_GB2312" w:cs="Times New Roman"/>
          <w:i w:val="0"/>
          <w:szCs w:val="28"/>
        </w:rPr>
        <w:instrText xml:space="preserve"> HYPERLINK \l _Toc1115511543 </w:instrText>
      </w:r>
      <w:r>
        <w:rPr>
          <w:rFonts w:hint="default" w:ascii="Times New Roman" w:hAnsi="Times New Roman" w:eastAsia="仿宋_GB2312" w:cs="Times New Roman"/>
          <w:i w:val="0"/>
          <w:szCs w:val="28"/>
        </w:rPr>
        <w:fldChar w:fldCharType="separate"/>
      </w:r>
      <w:r>
        <w:rPr>
          <w:rFonts w:hint="default" w:ascii="Times New Roman" w:hAnsi="Times New Roman" w:eastAsia="仿宋_GB2312" w:cs="Times New Roman"/>
          <w:szCs w:val="32"/>
        </w:rPr>
        <w:t>2.4 工作内容</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_Toc1115511543 \h </w:instrText>
      </w:r>
      <w:r>
        <w:rPr>
          <w:rFonts w:hint="default" w:ascii="Times New Roman" w:hAnsi="Times New Roman" w:cs="Times New Roman"/>
        </w:rPr>
        <w:fldChar w:fldCharType="separate"/>
      </w:r>
      <w:r>
        <w:rPr>
          <w:rFonts w:hint="default" w:ascii="Times New Roman" w:hAnsi="Times New Roman" w:cs="Times New Roman"/>
        </w:rPr>
        <w:t>5</w:t>
      </w:r>
      <w:r>
        <w:rPr>
          <w:rFonts w:hint="default" w:ascii="Times New Roman" w:hAnsi="Times New Roman" w:cs="Times New Roman"/>
        </w:rPr>
        <w:fldChar w:fldCharType="end"/>
      </w:r>
      <w:r>
        <w:rPr>
          <w:rFonts w:hint="default" w:ascii="Times New Roman" w:hAnsi="Times New Roman" w:eastAsia="仿宋_GB2312" w:cs="Times New Roman"/>
          <w:i w:val="0"/>
          <w:color w:val="000000"/>
          <w:szCs w:val="28"/>
        </w:rPr>
        <w:fldChar w:fldCharType="end"/>
      </w:r>
    </w:p>
    <w:p w14:paraId="7E6FA863">
      <w:pPr>
        <w:pStyle w:val="24"/>
        <w:tabs>
          <w:tab w:val="right" w:leader="dot" w:pos="8832"/>
        </w:tabs>
        <w:rPr>
          <w:rFonts w:hint="default" w:ascii="Times New Roman" w:hAnsi="Times New Roman" w:cs="Times New Roman"/>
        </w:rPr>
      </w:pPr>
      <w:r>
        <w:rPr>
          <w:rFonts w:hint="default" w:ascii="Times New Roman" w:hAnsi="Times New Roman" w:eastAsia="仿宋_GB2312" w:cs="Times New Roman"/>
          <w:i w:val="0"/>
          <w:color w:val="000000"/>
          <w:szCs w:val="28"/>
        </w:rPr>
        <w:fldChar w:fldCharType="begin"/>
      </w:r>
      <w:r>
        <w:rPr>
          <w:rFonts w:hint="default" w:ascii="Times New Roman" w:hAnsi="Times New Roman" w:eastAsia="仿宋_GB2312" w:cs="Times New Roman"/>
          <w:i w:val="0"/>
          <w:szCs w:val="28"/>
        </w:rPr>
        <w:instrText xml:space="preserve"> HYPERLINK \l _Toc1073905908 </w:instrText>
      </w:r>
      <w:r>
        <w:rPr>
          <w:rFonts w:hint="default" w:ascii="Times New Roman" w:hAnsi="Times New Roman" w:eastAsia="仿宋_GB2312" w:cs="Times New Roman"/>
          <w:i w:val="0"/>
          <w:szCs w:val="28"/>
        </w:rPr>
        <w:fldChar w:fldCharType="separate"/>
      </w:r>
      <w:r>
        <w:rPr>
          <w:rFonts w:hint="default" w:ascii="Times New Roman" w:hAnsi="Times New Roman" w:eastAsia="仿宋_GB2312" w:cs="Times New Roman"/>
          <w:szCs w:val="32"/>
        </w:rPr>
        <w:t>2.5 城市体检范围</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_Toc1073905908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eastAsia="仿宋_GB2312" w:cs="Times New Roman"/>
          <w:i w:val="0"/>
          <w:color w:val="000000"/>
          <w:szCs w:val="28"/>
        </w:rPr>
        <w:fldChar w:fldCharType="end"/>
      </w:r>
    </w:p>
    <w:p w14:paraId="4F5167D8">
      <w:pPr>
        <w:pStyle w:val="20"/>
        <w:tabs>
          <w:tab w:val="right" w:leader="dot" w:pos="8832"/>
        </w:tabs>
        <w:rPr>
          <w:rFonts w:hint="default" w:ascii="Times New Roman" w:hAnsi="Times New Roman" w:eastAsia="仿宋_GB2312" w:cs="Times New Roman"/>
          <w:i w:val="0"/>
          <w:iCs w:val="0"/>
          <w:color w:val="000000"/>
          <w:sz w:val="28"/>
          <w:szCs w:val="28"/>
        </w:rPr>
      </w:pPr>
      <w:r>
        <w:rPr>
          <w:rFonts w:hint="default" w:ascii="Times New Roman" w:hAnsi="Times New Roman" w:eastAsia="仿宋_GB2312" w:cs="Times New Roman"/>
          <w:i w:val="0"/>
          <w:iCs w:val="0"/>
          <w:color w:val="000000"/>
          <w:sz w:val="28"/>
          <w:szCs w:val="28"/>
        </w:rPr>
        <w:fldChar w:fldCharType="begin"/>
      </w:r>
      <w:r>
        <w:rPr>
          <w:rFonts w:hint="default" w:ascii="Times New Roman" w:hAnsi="Times New Roman" w:eastAsia="仿宋_GB2312" w:cs="Times New Roman"/>
          <w:i w:val="0"/>
          <w:iCs w:val="0"/>
          <w:color w:val="000000"/>
          <w:sz w:val="28"/>
          <w:szCs w:val="28"/>
        </w:rPr>
        <w:instrText xml:space="preserve"> HYPERLINK \l _Toc1992231628 </w:instrText>
      </w:r>
      <w:r>
        <w:rPr>
          <w:rFonts w:hint="default" w:ascii="Times New Roman" w:hAnsi="Times New Roman" w:eastAsia="仿宋_GB2312" w:cs="Times New Roman"/>
          <w:i w:val="0"/>
          <w:iCs w:val="0"/>
          <w:color w:val="000000"/>
          <w:sz w:val="28"/>
          <w:szCs w:val="28"/>
        </w:rPr>
        <w:fldChar w:fldCharType="separate"/>
      </w:r>
      <w:r>
        <w:rPr>
          <w:rFonts w:hint="default" w:ascii="Times New Roman" w:hAnsi="Times New Roman" w:eastAsia="仿宋_GB2312" w:cs="Times New Roman"/>
          <w:i w:val="0"/>
          <w:iCs w:val="0"/>
          <w:color w:val="000000"/>
          <w:sz w:val="28"/>
          <w:szCs w:val="28"/>
        </w:rPr>
        <w:t>3. 城市体检内容与技术要点</w:t>
      </w:r>
      <w:r>
        <w:rPr>
          <w:rFonts w:hint="default" w:ascii="Times New Roman" w:hAnsi="Times New Roman" w:eastAsia="仿宋_GB2312" w:cs="Times New Roman"/>
          <w:i w:val="0"/>
          <w:iCs w:val="0"/>
          <w:color w:val="000000"/>
          <w:sz w:val="28"/>
          <w:szCs w:val="28"/>
        </w:rPr>
        <w:tab/>
      </w:r>
      <w:r>
        <w:rPr>
          <w:rFonts w:hint="default" w:ascii="Times New Roman" w:hAnsi="Times New Roman" w:eastAsia="仿宋_GB2312" w:cs="Times New Roman"/>
          <w:i w:val="0"/>
          <w:iCs w:val="0"/>
          <w:color w:val="000000"/>
          <w:sz w:val="28"/>
          <w:szCs w:val="28"/>
        </w:rPr>
        <w:fldChar w:fldCharType="begin"/>
      </w:r>
      <w:r>
        <w:rPr>
          <w:rFonts w:hint="default" w:ascii="Times New Roman" w:hAnsi="Times New Roman" w:eastAsia="仿宋_GB2312" w:cs="Times New Roman"/>
          <w:i w:val="0"/>
          <w:iCs w:val="0"/>
          <w:color w:val="000000"/>
          <w:sz w:val="28"/>
          <w:szCs w:val="28"/>
        </w:rPr>
        <w:instrText xml:space="preserve"> PAGEREF _Toc1992231628 \h </w:instrText>
      </w:r>
      <w:r>
        <w:rPr>
          <w:rFonts w:hint="default" w:ascii="Times New Roman" w:hAnsi="Times New Roman" w:eastAsia="仿宋_GB2312" w:cs="Times New Roman"/>
          <w:i w:val="0"/>
          <w:iCs w:val="0"/>
          <w:color w:val="000000"/>
          <w:sz w:val="28"/>
          <w:szCs w:val="28"/>
        </w:rPr>
        <w:fldChar w:fldCharType="separate"/>
      </w:r>
      <w:r>
        <w:rPr>
          <w:rFonts w:hint="default" w:ascii="Times New Roman" w:hAnsi="Times New Roman" w:eastAsia="仿宋_GB2312" w:cs="Times New Roman"/>
          <w:i w:val="0"/>
          <w:iCs w:val="0"/>
          <w:color w:val="000000"/>
          <w:sz w:val="28"/>
          <w:szCs w:val="28"/>
        </w:rPr>
        <w:t>8</w:t>
      </w:r>
      <w:r>
        <w:rPr>
          <w:rFonts w:hint="default" w:ascii="Times New Roman" w:hAnsi="Times New Roman" w:eastAsia="仿宋_GB2312" w:cs="Times New Roman"/>
          <w:i w:val="0"/>
          <w:iCs w:val="0"/>
          <w:color w:val="000000"/>
          <w:sz w:val="28"/>
          <w:szCs w:val="28"/>
        </w:rPr>
        <w:fldChar w:fldCharType="end"/>
      </w:r>
      <w:r>
        <w:rPr>
          <w:rFonts w:hint="default" w:ascii="Times New Roman" w:hAnsi="Times New Roman" w:eastAsia="仿宋_GB2312" w:cs="Times New Roman"/>
          <w:i w:val="0"/>
          <w:iCs w:val="0"/>
          <w:color w:val="000000"/>
          <w:sz w:val="28"/>
          <w:szCs w:val="28"/>
        </w:rPr>
        <w:fldChar w:fldCharType="end"/>
      </w:r>
    </w:p>
    <w:p w14:paraId="418DE6F9">
      <w:pPr>
        <w:pStyle w:val="24"/>
        <w:tabs>
          <w:tab w:val="right" w:leader="dot" w:pos="8832"/>
        </w:tabs>
        <w:rPr>
          <w:rFonts w:hint="default" w:ascii="Times New Roman" w:hAnsi="Times New Roman" w:cs="Times New Roman"/>
        </w:rPr>
      </w:pPr>
      <w:r>
        <w:rPr>
          <w:rFonts w:hint="default" w:ascii="Times New Roman" w:hAnsi="Times New Roman" w:eastAsia="仿宋_GB2312" w:cs="Times New Roman"/>
          <w:i w:val="0"/>
          <w:color w:val="000000"/>
          <w:szCs w:val="28"/>
        </w:rPr>
        <w:fldChar w:fldCharType="begin"/>
      </w:r>
      <w:r>
        <w:rPr>
          <w:rFonts w:hint="default" w:ascii="Times New Roman" w:hAnsi="Times New Roman" w:eastAsia="仿宋_GB2312" w:cs="Times New Roman"/>
          <w:i w:val="0"/>
          <w:szCs w:val="28"/>
        </w:rPr>
        <w:instrText xml:space="preserve"> HYPERLINK \l _Toc1564763931 </w:instrText>
      </w:r>
      <w:r>
        <w:rPr>
          <w:rFonts w:hint="default" w:ascii="Times New Roman" w:hAnsi="Times New Roman" w:eastAsia="仿宋_GB2312" w:cs="Times New Roman"/>
          <w:i w:val="0"/>
          <w:szCs w:val="28"/>
        </w:rPr>
        <w:fldChar w:fldCharType="separate"/>
      </w:r>
      <w:r>
        <w:rPr>
          <w:rFonts w:hint="default" w:ascii="Times New Roman" w:hAnsi="Times New Roman" w:eastAsia="仿宋_GB2312" w:cs="Times New Roman"/>
          <w:szCs w:val="32"/>
        </w:rPr>
        <w:t>3.1 指标体系构建</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_Toc1564763931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eastAsia="仿宋_GB2312" w:cs="Times New Roman"/>
          <w:i w:val="0"/>
          <w:color w:val="000000"/>
          <w:szCs w:val="28"/>
        </w:rPr>
        <w:fldChar w:fldCharType="end"/>
      </w:r>
    </w:p>
    <w:p w14:paraId="009B0646">
      <w:pPr>
        <w:pStyle w:val="24"/>
        <w:tabs>
          <w:tab w:val="right" w:leader="dot" w:pos="8832"/>
        </w:tabs>
        <w:rPr>
          <w:rFonts w:hint="default" w:ascii="Times New Roman" w:hAnsi="Times New Roman" w:cs="Times New Roman"/>
        </w:rPr>
      </w:pPr>
      <w:r>
        <w:rPr>
          <w:rFonts w:hint="default" w:ascii="Times New Roman" w:hAnsi="Times New Roman" w:eastAsia="仿宋_GB2312" w:cs="Times New Roman"/>
          <w:i w:val="0"/>
          <w:color w:val="000000"/>
          <w:szCs w:val="28"/>
        </w:rPr>
        <w:fldChar w:fldCharType="begin"/>
      </w:r>
      <w:r>
        <w:rPr>
          <w:rFonts w:hint="default" w:ascii="Times New Roman" w:hAnsi="Times New Roman" w:eastAsia="仿宋_GB2312" w:cs="Times New Roman"/>
          <w:i w:val="0"/>
          <w:szCs w:val="28"/>
        </w:rPr>
        <w:instrText xml:space="preserve"> HYPERLINK \l _Toc1929106790 </w:instrText>
      </w:r>
      <w:r>
        <w:rPr>
          <w:rFonts w:hint="default" w:ascii="Times New Roman" w:hAnsi="Times New Roman" w:eastAsia="仿宋_GB2312" w:cs="Times New Roman"/>
          <w:i w:val="0"/>
          <w:szCs w:val="28"/>
        </w:rPr>
        <w:fldChar w:fldCharType="separate"/>
      </w:r>
      <w:r>
        <w:rPr>
          <w:rFonts w:hint="default" w:ascii="Times New Roman" w:hAnsi="Times New Roman" w:eastAsia="仿宋_GB2312" w:cs="Times New Roman"/>
          <w:szCs w:val="32"/>
        </w:rPr>
        <w:t>3.2 指标评价方法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_Toc1929106790 \h </w:instrText>
      </w:r>
      <w:r>
        <w:rPr>
          <w:rFonts w:hint="default" w:ascii="Times New Roman" w:hAnsi="Times New Roman" w:cs="Times New Roman"/>
        </w:rPr>
        <w:fldChar w:fldCharType="separate"/>
      </w:r>
      <w:r>
        <w:rPr>
          <w:rFonts w:hint="default" w:ascii="Times New Roman" w:hAnsi="Times New Roman" w:cs="Times New Roman"/>
        </w:rPr>
        <w:t>9</w:t>
      </w:r>
      <w:r>
        <w:rPr>
          <w:rFonts w:hint="default" w:ascii="Times New Roman" w:hAnsi="Times New Roman" w:cs="Times New Roman"/>
        </w:rPr>
        <w:fldChar w:fldCharType="end"/>
      </w:r>
      <w:r>
        <w:rPr>
          <w:rFonts w:hint="default" w:ascii="Times New Roman" w:hAnsi="Times New Roman" w:eastAsia="仿宋_GB2312" w:cs="Times New Roman"/>
          <w:i w:val="0"/>
          <w:color w:val="000000"/>
          <w:szCs w:val="28"/>
        </w:rPr>
        <w:fldChar w:fldCharType="end"/>
      </w:r>
    </w:p>
    <w:p w14:paraId="6A2C4883">
      <w:pPr>
        <w:pStyle w:val="24"/>
        <w:tabs>
          <w:tab w:val="right" w:leader="dot" w:pos="8832"/>
        </w:tabs>
        <w:rPr>
          <w:rFonts w:hint="default" w:ascii="Times New Roman" w:hAnsi="Times New Roman" w:cs="Times New Roman"/>
        </w:rPr>
      </w:pPr>
      <w:r>
        <w:rPr>
          <w:rFonts w:hint="default" w:ascii="Times New Roman" w:hAnsi="Times New Roman" w:eastAsia="仿宋_GB2312" w:cs="Times New Roman"/>
          <w:i w:val="0"/>
          <w:color w:val="000000"/>
          <w:szCs w:val="28"/>
        </w:rPr>
        <w:fldChar w:fldCharType="begin"/>
      </w:r>
      <w:r>
        <w:rPr>
          <w:rFonts w:hint="default" w:ascii="Times New Roman" w:hAnsi="Times New Roman" w:eastAsia="仿宋_GB2312" w:cs="Times New Roman"/>
          <w:i w:val="0"/>
          <w:szCs w:val="28"/>
        </w:rPr>
        <w:instrText xml:space="preserve"> HYPERLINK \l _Toc357048001 </w:instrText>
      </w:r>
      <w:r>
        <w:rPr>
          <w:rFonts w:hint="default" w:ascii="Times New Roman" w:hAnsi="Times New Roman" w:eastAsia="仿宋_GB2312" w:cs="Times New Roman"/>
          <w:i w:val="0"/>
          <w:szCs w:val="28"/>
        </w:rPr>
        <w:fldChar w:fldCharType="separate"/>
      </w:r>
      <w:r>
        <w:rPr>
          <w:rFonts w:hint="default" w:ascii="Times New Roman" w:hAnsi="Times New Roman" w:eastAsia="仿宋_GB2312" w:cs="Times New Roman"/>
          <w:szCs w:val="32"/>
        </w:rPr>
        <w:t>3.3 体检成果转化</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_Toc357048001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仿宋_GB2312" w:cs="Times New Roman"/>
          <w:i w:val="0"/>
          <w:color w:val="000000"/>
          <w:szCs w:val="28"/>
        </w:rPr>
        <w:fldChar w:fldCharType="end"/>
      </w:r>
    </w:p>
    <w:p w14:paraId="530D9EB5">
      <w:pPr>
        <w:pStyle w:val="20"/>
        <w:tabs>
          <w:tab w:val="right" w:leader="dot" w:pos="8832"/>
        </w:tabs>
        <w:rPr>
          <w:rFonts w:hint="default" w:ascii="Times New Roman" w:hAnsi="Times New Roman" w:eastAsia="仿宋_GB2312" w:cs="Times New Roman"/>
          <w:i w:val="0"/>
          <w:iCs w:val="0"/>
          <w:color w:val="000000"/>
          <w:sz w:val="28"/>
          <w:szCs w:val="28"/>
        </w:rPr>
      </w:pPr>
      <w:r>
        <w:rPr>
          <w:rFonts w:hint="default" w:ascii="Times New Roman" w:hAnsi="Times New Roman" w:eastAsia="仿宋_GB2312" w:cs="Times New Roman"/>
          <w:i w:val="0"/>
          <w:iCs w:val="0"/>
          <w:color w:val="000000"/>
          <w:sz w:val="28"/>
          <w:szCs w:val="28"/>
        </w:rPr>
        <w:fldChar w:fldCharType="begin"/>
      </w:r>
      <w:r>
        <w:rPr>
          <w:rFonts w:hint="default" w:ascii="Times New Roman" w:hAnsi="Times New Roman" w:eastAsia="仿宋_GB2312" w:cs="Times New Roman"/>
          <w:i w:val="0"/>
          <w:iCs w:val="0"/>
          <w:color w:val="000000"/>
          <w:sz w:val="28"/>
          <w:szCs w:val="28"/>
        </w:rPr>
        <w:instrText xml:space="preserve"> HYPERLINK \l _Toc308660500 </w:instrText>
      </w:r>
      <w:r>
        <w:rPr>
          <w:rFonts w:hint="default" w:ascii="Times New Roman" w:hAnsi="Times New Roman" w:eastAsia="仿宋_GB2312" w:cs="Times New Roman"/>
          <w:i w:val="0"/>
          <w:iCs w:val="0"/>
          <w:color w:val="000000"/>
          <w:sz w:val="28"/>
          <w:szCs w:val="28"/>
        </w:rPr>
        <w:fldChar w:fldCharType="separate"/>
      </w:r>
      <w:r>
        <w:rPr>
          <w:rFonts w:hint="default" w:ascii="Times New Roman" w:hAnsi="Times New Roman" w:eastAsia="仿宋_GB2312" w:cs="Times New Roman"/>
          <w:i w:val="0"/>
          <w:iCs w:val="0"/>
          <w:color w:val="000000"/>
          <w:sz w:val="28"/>
          <w:szCs w:val="28"/>
        </w:rPr>
        <w:t>4. 城市体检成果与提交形式</w:t>
      </w:r>
      <w:r>
        <w:rPr>
          <w:rFonts w:hint="default" w:ascii="Times New Roman" w:hAnsi="Times New Roman" w:eastAsia="仿宋_GB2312" w:cs="Times New Roman"/>
          <w:i w:val="0"/>
          <w:iCs w:val="0"/>
          <w:color w:val="000000"/>
          <w:sz w:val="28"/>
          <w:szCs w:val="28"/>
        </w:rPr>
        <w:tab/>
      </w:r>
      <w:r>
        <w:rPr>
          <w:rFonts w:hint="default" w:ascii="Times New Roman" w:hAnsi="Times New Roman" w:eastAsia="仿宋_GB2312" w:cs="Times New Roman"/>
          <w:i w:val="0"/>
          <w:iCs w:val="0"/>
          <w:color w:val="000000"/>
          <w:sz w:val="28"/>
          <w:szCs w:val="28"/>
        </w:rPr>
        <w:fldChar w:fldCharType="begin"/>
      </w:r>
      <w:r>
        <w:rPr>
          <w:rFonts w:hint="default" w:ascii="Times New Roman" w:hAnsi="Times New Roman" w:eastAsia="仿宋_GB2312" w:cs="Times New Roman"/>
          <w:i w:val="0"/>
          <w:iCs w:val="0"/>
          <w:color w:val="000000"/>
          <w:sz w:val="28"/>
          <w:szCs w:val="28"/>
        </w:rPr>
        <w:instrText xml:space="preserve"> PAGEREF _Toc308660500 \h </w:instrText>
      </w:r>
      <w:r>
        <w:rPr>
          <w:rFonts w:hint="default" w:ascii="Times New Roman" w:hAnsi="Times New Roman" w:eastAsia="仿宋_GB2312" w:cs="Times New Roman"/>
          <w:i w:val="0"/>
          <w:iCs w:val="0"/>
          <w:color w:val="000000"/>
          <w:sz w:val="28"/>
          <w:szCs w:val="28"/>
        </w:rPr>
        <w:fldChar w:fldCharType="separate"/>
      </w:r>
      <w:r>
        <w:rPr>
          <w:rFonts w:hint="default" w:ascii="Times New Roman" w:hAnsi="Times New Roman" w:eastAsia="仿宋_GB2312" w:cs="Times New Roman"/>
          <w:i w:val="0"/>
          <w:iCs w:val="0"/>
          <w:color w:val="000000"/>
          <w:sz w:val="28"/>
          <w:szCs w:val="28"/>
        </w:rPr>
        <w:t>10</w:t>
      </w:r>
      <w:r>
        <w:rPr>
          <w:rFonts w:hint="default" w:ascii="Times New Roman" w:hAnsi="Times New Roman" w:eastAsia="仿宋_GB2312" w:cs="Times New Roman"/>
          <w:i w:val="0"/>
          <w:iCs w:val="0"/>
          <w:color w:val="000000"/>
          <w:sz w:val="28"/>
          <w:szCs w:val="28"/>
        </w:rPr>
        <w:fldChar w:fldCharType="end"/>
      </w:r>
      <w:r>
        <w:rPr>
          <w:rFonts w:hint="default" w:ascii="Times New Roman" w:hAnsi="Times New Roman" w:eastAsia="仿宋_GB2312" w:cs="Times New Roman"/>
          <w:i w:val="0"/>
          <w:iCs w:val="0"/>
          <w:color w:val="000000"/>
          <w:sz w:val="28"/>
          <w:szCs w:val="28"/>
        </w:rPr>
        <w:fldChar w:fldCharType="end"/>
      </w:r>
    </w:p>
    <w:p w14:paraId="2C5A62C5">
      <w:pPr>
        <w:pStyle w:val="24"/>
        <w:tabs>
          <w:tab w:val="right" w:leader="dot" w:pos="8832"/>
        </w:tabs>
        <w:rPr>
          <w:rFonts w:hint="default" w:ascii="Times New Roman" w:hAnsi="Times New Roman" w:cs="Times New Roman"/>
        </w:rPr>
      </w:pPr>
      <w:r>
        <w:rPr>
          <w:rFonts w:hint="default" w:ascii="Times New Roman" w:hAnsi="Times New Roman" w:eastAsia="仿宋_GB2312" w:cs="Times New Roman"/>
          <w:i w:val="0"/>
          <w:color w:val="000000"/>
          <w:szCs w:val="28"/>
        </w:rPr>
        <w:fldChar w:fldCharType="begin"/>
      </w:r>
      <w:r>
        <w:rPr>
          <w:rFonts w:hint="default" w:ascii="Times New Roman" w:hAnsi="Times New Roman" w:eastAsia="仿宋_GB2312" w:cs="Times New Roman"/>
          <w:i w:val="0"/>
          <w:szCs w:val="28"/>
        </w:rPr>
        <w:instrText xml:space="preserve"> HYPERLINK \l _Toc318981766 </w:instrText>
      </w:r>
      <w:r>
        <w:rPr>
          <w:rFonts w:hint="default" w:ascii="Times New Roman" w:hAnsi="Times New Roman" w:eastAsia="仿宋_GB2312" w:cs="Times New Roman"/>
          <w:i w:val="0"/>
          <w:szCs w:val="28"/>
        </w:rPr>
        <w:fldChar w:fldCharType="separate"/>
      </w:r>
      <w:r>
        <w:rPr>
          <w:rFonts w:hint="default" w:ascii="Times New Roman" w:hAnsi="Times New Roman" w:eastAsia="仿宋_GB2312" w:cs="Times New Roman"/>
          <w:szCs w:val="32"/>
        </w:rPr>
        <w:t>4.1 体检成果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_Toc318981766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仿宋_GB2312" w:cs="Times New Roman"/>
          <w:i w:val="0"/>
          <w:color w:val="000000"/>
          <w:szCs w:val="28"/>
        </w:rPr>
        <w:fldChar w:fldCharType="end"/>
      </w:r>
    </w:p>
    <w:p w14:paraId="18459E4A">
      <w:pPr>
        <w:pStyle w:val="24"/>
        <w:tabs>
          <w:tab w:val="right" w:leader="dot" w:pos="8832"/>
        </w:tabs>
        <w:rPr>
          <w:rFonts w:hint="default" w:ascii="Times New Roman" w:hAnsi="Times New Roman" w:cs="Times New Roman"/>
        </w:rPr>
      </w:pPr>
      <w:r>
        <w:rPr>
          <w:rFonts w:hint="default" w:ascii="Times New Roman" w:hAnsi="Times New Roman" w:eastAsia="仿宋_GB2312" w:cs="Times New Roman"/>
          <w:i w:val="0"/>
          <w:color w:val="000000"/>
          <w:szCs w:val="28"/>
        </w:rPr>
        <w:fldChar w:fldCharType="begin"/>
      </w:r>
      <w:r>
        <w:rPr>
          <w:rFonts w:hint="default" w:ascii="Times New Roman" w:hAnsi="Times New Roman" w:eastAsia="仿宋_GB2312" w:cs="Times New Roman"/>
          <w:i w:val="0"/>
          <w:szCs w:val="28"/>
        </w:rPr>
        <w:instrText xml:space="preserve"> HYPERLINK \l _Toc1964557727 </w:instrText>
      </w:r>
      <w:r>
        <w:rPr>
          <w:rFonts w:hint="default" w:ascii="Times New Roman" w:hAnsi="Times New Roman" w:eastAsia="仿宋_GB2312" w:cs="Times New Roman"/>
          <w:i w:val="0"/>
          <w:szCs w:val="28"/>
        </w:rPr>
        <w:fldChar w:fldCharType="separate"/>
      </w:r>
      <w:r>
        <w:rPr>
          <w:rFonts w:hint="default" w:ascii="Times New Roman" w:hAnsi="Times New Roman" w:eastAsia="仿宋_GB2312" w:cs="Times New Roman"/>
          <w:szCs w:val="32"/>
        </w:rPr>
        <w:t>4.2 技术审查</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_Toc1964557727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eastAsia="仿宋_GB2312" w:cs="Times New Roman"/>
          <w:i w:val="0"/>
          <w:color w:val="000000"/>
          <w:szCs w:val="28"/>
        </w:rPr>
        <w:fldChar w:fldCharType="end"/>
      </w:r>
    </w:p>
    <w:p w14:paraId="10B355E6">
      <w:pPr>
        <w:pStyle w:val="24"/>
        <w:tabs>
          <w:tab w:val="right" w:leader="dot" w:pos="8832"/>
        </w:tabs>
        <w:rPr>
          <w:rFonts w:hint="default" w:ascii="Times New Roman" w:hAnsi="Times New Roman" w:cs="Times New Roman"/>
        </w:rPr>
      </w:pPr>
      <w:r>
        <w:rPr>
          <w:rFonts w:hint="default" w:ascii="Times New Roman" w:hAnsi="Times New Roman" w:eastAsia="仿宋_GB2312" w:cs="Times New Roman"/>
          <w:i w:val="0"/>
          <w:color w:val="000000"/>
          <w:szCs w:val="28"/>
        </w:rPr>
        <w:fldChar w:fldCharType="begin"/>
      </w:r>
      <w:r>
        <w:rPr>
          <w:rFonts w:hint="default" w:ascii="Times New Roman" w:hAnsi="Times New Roman" w:eastAsia="仿宋_GB2312" w:cs="Times New Roman"/>
          <w:i w:val="0"/>
          <w:szCs w:val="28"/>
        </w:rPr>
        <w:instrText xml:space="preserve"> HYPERLINK \l _Toc1374682398 </w:instrText>
      </w:r>
      <w:r>
        <w:rPr>
          <w:rFonts w:hint="default" w:ascii="Times New Roman" w:hAnsi="Times New Roman" w:eastAsia="仿宋_GB2312" w:cs="Times New Roman"/>
          <w:i w:val="0"/>
          <w:szCs w:val="28"/>
        </w:rPr>
        <w:fldChar w:fldCharType="separate"/>
      </w:r>
      <w:r>
        <w:rPr>
          <w:rFonts w:hint="default" w:ascii="Times New Roman" w:hAnsi="Times New Roman" w:eastAsia="仿宋_GB2312" w:cs="Times New Roman"/>
          <w:szCs w:val="32"/>
        </w:rPr>
        <w:t>4.3 成果提交与备案</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_Toc1374682398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eastAsia="仿宋_GB2312" w:cs="Times New Roman"/>
          <w:i w:val="0"/>
          <w:color w:val="000000"/>
          <w:szCs w:val="28"/>
        </w:rPr>
        <w:fldChar w:fldCharType="end"/>
      </w:r>
    </w:p>
    <w:p w14:paraId="5D62A746">
      <w:pPr>
        <w:pStyle w:val="20"/>
        <w:tabs>
          <w:tab w:val="right" w:leader="dot" w:pos="8832"/>
        </w:tabs>
        <w:rPr>
          <w:rFonts w:hint="default" w:ascii="Times New Roman" w:hAnsi="Times New Roman" w:eastAsia="仿宋_GB2312" w:cs="Times New Roman"/>
          <w:i w:val="0"/>
          <w:iCs w:val="0"/>
          <w:color w:val="000000"/>
          <w:sz w:val="28"/>
          <w:szCs w:val="28"/>
        </w:rPr>
      </w:pPr>
      <w:r>
        <w:rPr>
          <w:rFonts w:hint="default" w:ascii="Times New Roman" w:hAnsi="Times New Roman" w:eastAsia="仿宋_GB2312" w:cs="Times New Roman"/>
          <w:i w:val="0"/>
          <w:iCs w:val="0"/>
          <w:color w:val="000000"/>
          <w:sz w:val="28"/>
          <w:szCs w:val="28"/>
        </w:rPr>
        <w:fldChar w:fldCharType="begin"/>
      </w:r>
      <w:r>
        <w:rPr>
          <w:rFonts w:hint="default" w:ascii="Times New Roman" w:hAnsi="Times New Roman" w:eastAsia="仿宋_GB2312" w:cs="Times New Roman"/>
          <w:i w:val="0"/>
          <w:iCs w:val="0"/>
          <w:color w:val="000000"/>
          <w:sz w:val="28"/>
          <w:szCs w:val="28"/>
        </w:rPr>
        <w:instrText xml:space="preserve"> HYPERLINK \l _Toc1609965780 </w:instrText>
      </w:r>
      <w:r>
        <w:rPr>
          <w:rFonts w:hint="default" w:ascii="Times New Roman" w:hAnsi="Times New Roman" w:eastAsia="仿宋_GB2312" w:cs="Times New Roman"/>
          <w:i w:val="0"/>
          <w:iCs w:val="0"/>
          <w:color w:val="000000"/>
          <w:sz w:val="28"/>
          <w:szCs w:val="28"/>
        </w:rPr>
        <w:fldChar w:fldCharType="separate"/>
      </w:r>
      <w:r>
        <w:rPr>
          <w:rFonts w:hint="default" w:ascii="Times New Roman" w:hAnsi="Times New Roman" w:eastAsia="仿宋_GB2312" w:cs="Times New Roman"/>
          <w:i w:val="0"/>
          <w:iCs w:val="0"/>
          <w:color w:val="000000"/>
          <w:sz w:val="28"/>
          <w:szCs w:val="28"/>
        </w:rPr>
        <w:t>附录A 住房和城乡建设部2023年度城市体检基础指标体系</w:t>
      </w:r>
      <w:r>
        <w:rPr>
          <w:rFonts w:hint="default" w:ascii="Times New Roman" w:hAnsi="Times New Roman" w:eastAsia="仿宋_GB2312" w:cs="Times New Roman"/>
          <w:i w:val="0"/>
          <w:iCs w:val="0"/>
          <w:color w:val="000000"/>
          <w:sz w:val="28"/>
          <w:szCs w:val="28"/>
        </w:rPr>
        <w:tab/>
      </w:r>
      <w:r>
        <w:rPr>
          <w:rFonts w:hint="default" w:ascii="Times New Roman" w:hAnsi="Times New Roman" w:eastAsia="仿宋_GB2312" w:cs="Times New Roman"/>
          <w:i w:val="0"/>
          <w:iCs w:val="0"/>
          <w:color w:val="000000"/>
          <w:sz w:val="28"/>
          <w:szCs w:val="28"/>
        </w:rPr>
        <w:fldChar w:fldCharType="begin"/>
      </w:r>
      <w:r>
        <w:rPr>
          <w:rFonts w:hint="default" w:ascii="Times New Roman" w:hAnsi="Times New Roman" w:eastAsia="仿宋_GB2312" w:cs="Times New Roman"/>
          <w:i w:val="0"/>
          <w:iCs w:val="0"/>
          <w:color w:val="000000"/>
          <w:sz w:val="28"/>
          <w:szCs w:val="28"/>
        </w:rPr>
        <w:instrText xml:space="preserve"> PAGEREF _Toc1609965780 \h </w:instrText>
      </w:r>
      <w:r>
        <w:rPr>
          <w:rFonts w:hint="default" w:ascii="Times New Roman" w:hAnsi="Times New Roman" w:eastAsia="仿宋_GB2312" w:cs="Times New Roman"/>
          <w:i w:val="0"/>
          <w:iCs w:val="0"/>
          <w:color w:val="000000"/>
          <w:sz w:val="28"/>
          <w:szCs w:val="28"/>
        </w:rPr>
        <w:fldChar w:fldCharType="separate"/>
      </w:r>
      <w:r>
        <w:rPr>
          <w:rFonts w:hint="default" w:ascii="Times New Roman" w:hAnsi="Times New Roman" w:eastAsia="仿宋_GB2312" w:cs="Times New Roman"/>
          <w:i w:val="0"/>
          <w:iCs w:val="0"/>
          <w:color w:val="000000"/>
          <w:sz w:val="28"/>
          <w:szCs w:val="28"/>
        </w:rPr>
        <w:t>13</w:t>
      </w:r>
      <w:r>
        <w:rPr>
          <w:rFonts w:hint="default" w:ascii="Times New Roman" w:hAnsi="Times New Roman" w:eastAsia="仿宋_GB2312" w:cs="Times New Roman"/>
          <w:i w:val="0"/>
          <w:iCs w:val="0"/>
          <w:color w:val="000000"/>
          <w:sz w:val="28"/>
          <w:szCs w:val="28"/>
        </w:rPr>
        <w:fldChar w:fldCharType="end"/>
      </w:r>
      <w:r>
        <w:rPr>
          <w:rFonts w:hint="default" w:ascii="Times New Roman" w:hAnsi="Times New Roman" w:eastAsia="仿宋_GB2312" w:cs="Times New Roman"/>
          <w:i w:val="0"/>
          <w:iCs w:val="0"/>
          <w:color w:val="000000"/>
          <w:sz w:val="28"/>
          <w:szCs w:val="28"/>
        </w:rPr>
        <w:fldChar w:fldCharType="end"/>
      </w:r>
    </w:p>
    <w:p w14:paraId="34DDC537">
      <w:pPr>
        <w:pStyle w:val="20"/>
        <w:tabs>
          <w:tab w:val="right" w:leader="dot" w:pos="8832"/>
        </w:tabs>
        <w:rPr>
          <w:rFonts w:hint="default" w:ascii="Times New Roman" w:hAnsi="Times New Roman" w:eastAsia="仿宋_GB2312" w:cs="Times New Roman"/>
          <w:i w:val="0"/>
          <w:iCs w:val="0"/>
          <w:color w:val="000000"/>
          <w:sz w:val="28"/>
          <w:szCs w:val="28"/>
        </w:rPr>
      </w:pPr>
      <w:r>
        <w:rPr>
          <w:rFonts w:hint="default" w:ascii="Times New Roman" w:hAnsi="Times New Roman" w:eastAsia="仿宋_GB2312" w:cs="Times New Roman"/>
          <w:i w:val="0"/>
          <w:iCs w:val="0"/>
          <w:color w:val="000000"/>
          <w:sz w:val="28"/>
          <w:szCs w:val="28"/>
        </w:rPr>
        <w:fldChar w:fldCharType="begin"/>
      </w:r>
      <w:r>
        <w:rPr>
          <w:rFonts w:hint="default" w:ascii="Times New Roman" w:hAnsi="Times New Roman" w:eastAsia="仿宋_GB2312" w:cs="Times New Roman"/>
          <w:i w:val="0"/>
          <w:iCs w:val="0"/>
          <w:color w:val="000000"/>
          <w:sz w:val="28"/>
          <w:szCs w:val="28"/>
        </w:rPr>
        <w:instrText xml:space="preserve"> HYPERLINK \l _Toc713966092 </w:instrText>
      </w:r>
      <w:r>
        <w:rPr>
          <w:rFonts w:hint="default" w:ascii="Times New Roman" w:hAnsi="Times New Roman" w:eastAsia="仿宋_GB2312" w:cs="Times New Roman"/>
          <w:i w:val="0"/>
          <w:iCs w:val="0"/>
          <w:color w:val="000000"/>
          <w:sz w:val="28"/>
          <w:szCs w:val="28"/>
        </w:rPr>
        <w:fldChar w:fldCharType="separate"/>
      </w:r>
      <w:r>
        <w:rPr>
          <w:rFonts w:hint="default" w:ascii="Times New Roman" w:hAnsi="Times New Roman" w:eastAsia="仿宋_GB2312" w:cs="Times New Roman"/>
          <w:i w:val="0"/>
          <w:iCs w:val="0"/>
          <w:color w:val="000000"/>
          <w:sz w:val="28"/>
          <w:szCs w:val="28"/>
        </w:rPr>
        <w:t>附录B 福建省2023年度城市体检基础指标</w:t>
      </w:r>
      <w:r>
        <w:rPr>
          <w:rFonts w:hint="default" w:ascii="Times New Roman" w:hAnsi="Times New Roman" w:eastAsia="仿宋_GB2312" w:cs="Times New Roman"/>
          <w:i w:val="0"/>
          <w:iCs w:val="0"/>
          <w:color w:val="000000"/>
          <w:sz w:val="28"/>
          <w:szCs w:val="28"/>
        </w:rPr>
        <w:tab/>
      </w:r>
      <w:r>
        <w:rPr>
          <w:rFonts w:hint="default" w:ascii="Times New Roman" w:hAnsi="Times New Roman" w:eastAsia="仿宋_GB2312" w:cs="Times New Roman"/>
          <w:i w:val="0"/>
          <w:iCs w:val="0"/>
          <w:color w:val="000000"/>
          <w:sz w:val="28"/>
          <w:szCs w:val="28"/>
        </w:rPr>
        <w:fldChar w:fldCharType="begin"/>
      </w:r>
      <w:r>
        <w:rPr>
          <w:rFonts w:hint="default" w:ascii="Times New Roman" w:hAnsi="Times New Roman" w:eastAsia="仿宋_GB2312" w:cs="Times New Roman"/>
          <w:i w:val="0"/>
          <w:iCs w:val="0"/>
          <w:color w:val="000000"/>
          <w:sz w:val="28"/>
          <w:szCs w:val="28"/>
        </w:rPr>
        <w:instrText xml:space="preserve"> PAGEREF _Toc713966092 \h </w:instrText>
      </w:r>
      <w:r>
        <w:rPr>
          <w:rFonts w:hint="default" w:ascii="Times New Roman" w:hAnsi="Times New Roman" w:eastAsia="仿宋_GB2312" w:cs="Times New Roman"/>
          <w:i w:val="0"/>
          <w:iCs w:val="0"/>
          <w:color w:val="000000"/>
          <w:sz w:val="28"/>
          <w:szCs w:val="28"/>
        </w:rPr>
        <w:fldChar w:fldCharType="separate"/>
      </w:r>
      <w:r>
        <w:rPr>
          <w:rFonts w:hint="default" w:ascii="Times New Roman" w:hAnsi="Times New Roman" w:eastAsia="仿宋_GB2312" w:cs="Times New Roman"/>
          <w:i w:val="0"/>
          <w:iCs w:val="0"/>
          <w:color w:val="000000"/>
          <w:sz w:val="28"/>
          <w:szCs w:val="28"/>
        </w:rPr>
        <w:t>20</w:t>
      </w:r>
      <w:r>
        <w:rPr>
          <w:rFonts w:hint="default" w:ascii="Times New Roman" w:hAnsi="Times New Roman" w:eastAsia="仿宋_GB2312" w:cs="Times New Roman"/>
          <w:i w:val="0"/>
          <w:iCs w:val="0"/>
          <w:color w:val="000000"/>
          <w:sz w:val="28"/>
          <w:szCs w:val="28"/>
        </w:rPr>
        <w:fldChar w:fldCharType="end"/>
      </w:r>
      <w:r>
        <w:rPr>
          <w:rFonts w:hint="default" w:ascii="Times New Roman" w:hAnsi="Times New Roman" w:eastAsia="仿宋_GB2312" w:cs="Times New Roman"/>
          <w:i w:val="0"/>
          <w:iCs w:val="0"/>
          <w:color w:val="000000"/>
          <w:sz w:val="28"/>
          <w:szCs w:val="28"/>
        </w:rPr>
        <w:fldChar w:fldCharType="end"/>
      </w:r>
    </w:p>
    <w:p w14:paraId="3E392324">
      <w:pPr>
        <w:pStyle w:val="20"/>
        <w:tabs>
          <w:tab w:val="right" w:leader="dot" w:pos="8832"/>
        </w:tabs>
        <w:rPr>
          <w:rFonts w:hint="default" w:ascii="Times New Roman" w:hAnsi="Times New Roman" w:eastAsia="仿宋_GB2312" w:cs="Times New Roman"/>
          <w:i w:val="0"/>
          <w:iCs w:val="0"/>
          <w:color w:val="000000"/>
          <w:sz w:val="28"/>
          <w:szCs w:val="28"/>
        </w:rPr>
      </w:pPr>
      <w:r>
        <w:rPr>
          <w:rFonts w:hint="default" w:ascii="Times New Roman" w:hAnsi="Times New Roman" w:eastAsia="仿宋_GB2312" w:cs="Times New Roman"/>
          <w:i w:val="0"/>
          <w:iCs w:val="0"/>
          <w:color w:val="000000"/>
          <w:sz w:val="28"/>
          <w:szCs w:val="28"/>
        </w:rPr>
        <w:fldChar w:fldCharType="begin"/>
      </w:r>
      <w:r>
        <w:rPr>
          <w:rFonts w:hint="default" w:ascii="Times New Roman" w:hAnsi="Times New Roman" w:eastAsia="仿宋_GB2312" w:cs="Times New Roman"/>
          <w:i w:val="0"/>
          <w:iCs w:val="0"/>
          <w:color w:val="000000"/>
          <w:sz w:val="28"/>
          <w:szCs w:val="28"/>
        </w:rPr>
        <w:instrText xml:space="preserve"> HYPERLINK \l _Toc1839254865 </w:instrText>
      </w:r>
      <w:r>
        <w:rPr>
          <w:rFonts w:hint="default" w:ascii="Times New Roman" w:hAnsi="Times New Roman" w:eastAsia="仿宋_GB2312" w:cs="Times New Roman"/>
          <w:i w:val="0"/>
          <w:iCs w:val="0"/>
          <w:color w:val="000000"/>
          <w:sz w:val="28"/>
          <w:szCs w:val="28"/>
        </w:rPr>
        <w:fldChar w:fldCharType="separate"/>
      </w:r>
      <w:r>
        <w:rPr>
          <w:rFonts w:hint="default" w:ascii="Times New Roman" w:hAnsi="Times New Roman" w:eastAsia="仿宋_GB2312" w:cs="Times New Roman"/>
          <w:i w:val="0"/>
          <w:iCs w:val="0"/>
          <w:color w:val="000000"/>
          <w:sz w:val="28"/>
          <w:szCs w:val="28"/>
        </w:rPr>
        <w:t>附录C 住房和城乡建设部2023年度城市体检基础指标计算解析</w:t>
      </w:r>
      <w:r>
        <w:rPr>
          <w:rFonts w:hint="default" w:ascii="Times New Roman" w:hAnsi="Times New Roman" w:eastAsia="仿宋_GB2312" w:cs="Times New Roman"/>
          <w:i w:val="0"/>
          <w:iCs w:val="0"/>
          <w:color w:val="000000"/>
          <w:sz w:val="28"/>
          <w:szCs w:val="28"/>
        </w:rPr>
        <w:tab/>
      </w:r>
      <w:r>
        <w:rPr>
          <w:rFonts w:hint="default" w:ascii="Times New Roman" w:hAnsi="Times New Roman" w:eastAsia="仿宋_GB2312" w:cs="Times New Roman"/>
          <w:i w:val="0"/>
          <w:iCs w:val="0"/>
          <w:color w:val="000000"/>
          <w:sz w:val="28"/>
          <w:szCs w:val="28"/>
        </w:rPr>
        <w:fldChar w:fldCharType="begin"/>
      </w:r>
      <w:r>
        <w:rPr>
          <w:rFonts w:hint="default" w:ascii="Times New Roman" w:hAnsi="Times New Roman" w:eastAsia="仿宋_GB2312" w:cs="Times New Roman"/>
          <w:i w:val="0"/>
          <w:iCs w:val="0"/>
          <w:color w:val="000000"/>
          <w:sz w:val="28"/>
          <w:szCs w:val="28"/>
        </w:rPr>
        <w:instrText xml:space="preserve"> PAGEREF _Toc1839254865 \h </w:instrText>
      </w:r>
      <w:r>
        <w:rPr>
          <w:rFonts w:hint="default" w:ascii="Times New Roman" w:hAnsi="Times New Roman" w:eastAsia="仿宋_GB2312" w:cs="Times New Roman"/>
          <w:i w:val="0"/>
          <w:iCs w:val="0"/>
          <w:color w:val="000000"/>
          <w:sz w:val="28"/>
          <w:szCs w:val="28"/>
        </w:rPr>
        <w:fldChar w:fldCharType="separate"/>
      </w:r>
      <w:r>
        <w:rPr>
          <w:rFonts w:hint="default" w:ascii="Times New Roman" w:hAnsi="Times New Roman" w:eastAsia="仿宋_GB2312" w:cs="Times New Roman"/>
          <w:i w:val="0"/>
          <w:iCs w:val="0"/>
          <w:color w:val="000000"/>
          <w:sz w:val="28"/>
          <w:szCs w:val="28"/>
        </w:rPr>
        <w:t>22</w:t>
      </w:r>
      <w:r>
        <w:rPr>
          <w:rFonts w:hint="default" w:ascii="Times New Roman" w:hAnsi="Times New Roman" w:eastAsia="仿宋_GB2312" w:cs="Times New Roman"/>
          <w:i w:val="0"/>
          <w:iCs w:val="0"/>
          <w:color w:val="000000"/>
          <w:sz w:val="28"/>
          <w:szCs w:val="28"/>
        </w:rPr>
        <w:fldChar w:fldCharType="end"/>
      </w:r>
      <w:r>
        <w:rPr>
          <w:rFonts w:hint="default" w:ascii="Times New Roman" w:hAnsi="Times New Roman" w:eastAsia="仿宋_GB2312" w:cs="Times New Roman"/>
          <w:i w:val="0"/>
          <w:iCs w:val="0"/>
          <w:color w:val="000000"/>
          <w:sz w:val="28"/>
          <w:szCs w:val="28"/>
        </w:rPr>
        <w:fldChar w:fldCharType="end"/>
      </w:r>
    </w:p>
    <w:p w14:paraId="2B1242BC">
      <w:pPr>
        <w:pStyle w:val="20"/>
        <w:tabs>
          <w:tab w:val="right" w:leader="dot" w:pos="8832"/>
        </w:tabs>
        <w:rPr>
          <w:rFonts w:hint="default" w:ascii="Times New Roman" w:hAnsi="Times New Roman" w:eastAsia="仿宋_GB2312" w:cs="Times New Roman"/>
          <w:i w:val="0"/>
          <w:iCs w:val="0"/>
          <w:color w:val="000000"/>
          <w:sz w:val="28"/>
          <w:szCs w:val="28"/>
        </w:rPr>
      </w:pPr>
      <w:r>
        <w:rPr>
          <w:rFonts w:hint="default" w:ascii="Times New Roman" w:hAnsi="Times New Roman" w:eastAsia="仿宋_GB2312" w:cs="Times New Roman"/>
          <w:i w:val="0"/>
          <w:iCs w:val="0"/>
          <w:color w:val="000000"/>
          <w:sz w:val="28"/>
          <w:szCs w:val="28"/>
        </w:rPr>
        <w:fldChar w:fldCharType="begin"/>
      </w:r>
      <w:r>
        <w:rPr>
          <w:rFonts w:hint="default" w:ascii="Times New Roman" w:hAnsi="Times New Roman" w:eastAsia="仿宋_GB2312" w:cs="Times New Roman"/>
          <w:i w:val="0"/>
          <w:iCs w:val="0"/>
          <w:color w:val="000000"/>
          <w:sz w:val="28"/>
          <w:szCs w:val="28"/>
        </w:rPr>
        <w:instrText xml:space="preserve"> HYPERLINK \l _Toc1517580359 </w:instrText>
      </w:r>
      <w:r>
        <w:rPr>
          <w:rFonts w:hint="default" w:ascii="Times New Roman" w:hAnsi="Times New Roman" w:eastAsia="仿宋_GB2312" w:cs="Times New Roman"/>
          <w:i w:val="0"/>
          <w:iCs w:val="0"/>
          <w:color w:val="000000"/>
          <w:sz w:val="28"/>
          <w:szCs w:val="28"/>
        </w:rPr>
        <w:fldChar w:fldCharType="separate"/>
      </w:r>
      <w:r>
        <w:rPr>
          <w:rFonts w:hint="default" w:ascii="Times New Roman" w:hAnsi="Times New Roman" w:eastAsia="仿宋_GB2312" w:cs="Times New Roman"/>
          <w:i w:val="0"/>
          <w:iCs w:val="0"/>
          <w:color w:val="000000"/>
          <w:sz w:val="28"/>
          <w:szCs w:val="28"/>
        </w:rPr>
        <w:t>附录D 福建省2023年度城市体检基础指标计算解析</w:t>
      </w:r>
      <w:r>
        <w:rPr>
          <w:rFonts w:hint="default" w:ascii="Times New Roman" w:hAnsi="Times New Roman" w:eastAsia="仿宋_GB2312" w:cs="Times New Roman"/>
          <w:i w:val="0"/>
          <w:iCs w:val="0"/>
          <w:color w:val="000000"/>
          <w:sz w:val="28"/>
          <w:szCs w:val="28"/>
        </w:rPr>
        <w:tab/>
      </w:r>
      <w:r>
        <w:rPr>
          <w:rFonts w:hint="default" w:ascii="Times New Roman" w:hAnsi="Times New Roman" w:eastAsia="仿宋_GB2312" w:cs="Times New Roman"/>
          <w:i w:val="0"/>
          <w:iCs w:val="0"/>
          <w:color w:val="000000"/>
          <w:sz w:val="28"/>
          <w:szCs w:val="28"/>
        </w:rPr>
        <w:fldChar w:fldCharType="begin"/>
      </w:r>
      <w:r>
        <w:rPr>
          <w:rFonts w:hint="default" w:ascii="Times New Roman" w:hAnsi="Times New Roman" w:eastAsia="仿宋_GB2312" w:cs="Times New Roman"/>
          <w:i w:val="0"/>
          <w:iCs w:val="0"/>
          <w:color w:val="000000"/>
          <w:sz w:val="28"/>
          <w:szCs w:val="28"/>
        </w:rPr>
        <w:instrText xml:space="preserve"> PAGEREF _Toc1517580359 \h </w:instrText>
      </w:r>
      <w:r>
        <w:rPr>
          <w:rFonts w:hint="default" w:ascii="Times New Roman" w:hAnsi="Times New Roman" w:eastAsia="仿宋_GB2312" w:cs="Times New Roman"/>
          <w:i w:val="0"/>
          <w:iCs w:val="0"/>
          <w:color w:val="000000"/>
          <w:sz w:val="28"/>
          <w:szCs w:val="28"/>
        </w:rPr>
        <w:fldChar w:fldCharType="separate"/>
      </w:r>
      <w:r>
        <w:rPr>
          <w:rFonts w:hint="default" w:ascii="Times New Roman" w:hAnsi="Times New Roman" w:eastAsia="仿宋_GB2312" w:cs="Times New Roman"/>
          <w:i w:val="0"/>
          <w:iCs w:val="0"/>
          <w:color w:val="000000"/>
          <w:sz w:val="28"/>
          <w:szCs w:val="28"/>
        </w:rPr>
        <w:t>101</w:t>
      </w:r>
      <w:r>
        <w:rPr>
          <w:rFonts w:hint="default" w:ascii="Times New Roman" w:hAnsi="Times New Roman" w:eastAsia="仿宋_GB2312" w:cs="Times New Roman"/>
          <w:i w:val="0"/>
          <w:iCs w:val="0"/>
          <w:color w:val="000000"/>
          <w:sz w:val="28"/>
          <w:szCs w:val="28"/>
        </w:rPr>
        <w:fldChar w:fldCharType="end"/>
      </w:r>
      <w:r>
        <w:rPr>
          <w:rFonts w:hint="default" w:ascii="Times New Roman" w:hAnsi="Times New Roman" w:eastAsia="仿宋_GB2312" w:cs="Times New Roman"/>
          <w:i w:val="0"/>
          <w:iCs w:val="0"/>
          <w:color w:val="000000"/>
          <w:sz w:val="28"/>
          <w:szCs w:val="28"/>
        </w:rPr>
        <w:fldChar w:fldCharType="end"/>
      </w:r>
    </w:p>
    <w:p w14:paraId="41180E56">
      <w:pPr>
        <w:pStyle w:val="20"/>
        <w:tabs>
          <w:tab w:val="right" w:leader="dot" w:pos="8832"/>
        </w:tabs>
        <w:rPr>
          <w:rFonts w:hint="default" w:ascii="Times New Roman" w:hAnsi="Times New Roman" w:eastAsia="仿宋_GB2312" w:cs="Times New Roman"/>
          <w:i w:val="0"/>
          <w:iCs w:val="0"/>
          <w:color w:val="000000"/>
          <w:sz w:val="28"/>
          <w:szCs w:val="28"/>
        </w:rPr>
      </w:pPr>
      <w:r>
        <w:rPr>
          <w:rFonts w:hint="default" w:ascii="Times New Roman" w:hAnsi="Times New Roman" w:eastAsia="仿宋_GB2312" w:cs="Times New Roman"/>
          <w:i w:val="0"/>
          <w:iCs w:val="0"/>
          <w:color w:val="000000"/>
          <w:sz w:val="28"/>
          <w:szCs w:val="28"/>
        </w:rPr>
        <w:fldChar w:fldCharType="begin"/>
      </w:r>
      <w:r>
        <w:rPr>
          <w:rFonts w:hint="default" w:ascii="Times New Roman" w:hAnsi="Times New Roman" w:eastAsia="仿宋_GB2312" w:cs="Times New Roman"/>
          <w:i w:val="0"/>
          <w:iCs w:val="0"/>
          <w:color w:val="000000"/>
          <w:sz w:val="28"/>
          <w:szCs w:val="28"/>
        </w:rPr>
        <w:instrText xml:space="preserve"> HYPERLINK \l _Toc194751796 </w:instrText>
      </w:r>
      <w:r>
        <w:rPr>
          <w:rFonts w:hint="default" w:ascii="Times New Roman" w:hAnsi="Times New Roman" w:eastAsia="仿宋_GB2312" w:cs="Times New Roman"/>
          <w:i w:val="0"/>
          <w:iCs w:val="0"/>
          <w:color w:val="000000"/>
          <w:sz w:val="28"/>
          <w:szCs w:val="28"/>
        </w:rPr>
        <w:fldChar w:fldCharType="separate"/>
      </w:r>
      <w:r>
        <w:rPr>
          <w:rFonts w:hint="default" w:ascii="Times New Roman" w:hAnsi="Times New Roman" w:eastAsia="仿宋_GB2312" w:cs="Times New Roman"/>
          <w:i w:val="0"/>
          <w:iCs w:val="0"/>
          <w:color w:val="000000"/>
          <w:sz w:val="28"/>
          <w:szCs w:val="28"/>
        </w:rPr>
        <w:t>附录E 住房、小区（社区）、街区指标数据调查统计表</w:t>
      </w:r>
      <w:r>
        <w:rPr>
          <w:rFonts w:hint="default" w:ascii="Times New Roman" w:hAnsi="Times New Roman" w:eastAsia="仿宋_GB2312" w:cs="Times New Roman"/>
          <w:i w:val="0"/>
          <w:iCs w:val="0"/>
          <w:color w:val="000000"/>
          <w:sz w:val="28"/>
          <w:szCs w:val="28"/>
        </w:rPr>
        <w:tab/>
      </w:r>
      <w:r>
        <w:rPr>
          <w:rFonts w:hint="default" w:ascii="Times New Roman" w:hAnsi="Times New Roman" w:eastAsia="仿宋_GB2312" w:cs="Times New Roman"/>
          <w:i w:val="0"/>
          <w:iCs w:val="0"/>
          <w:color w:val="000000"/>
          <w:sz w:val="28"/>
          <w:szCs w:val="28"/>
        </w:rPr>
        <w:fldChar w:fldCharType="begin"/>
      </w:r>
      <w:r>
        <w:rPr>
          <w:rFonts w:hint="default" w:ascii="Times New Roman" w:hAnsi="Times New Roman" w:eastAsia="仿宋_GB2312" w:cs="Times New Roman"/>
          <w:i w:val="0"/>
          <w:iCs w:val="0"/>
          <w:color w:val="000000"/>
          <w:sz w:val="28"/>
          <w:szCs w:val="28"/>
        </w:rPr>
        <w:instrText xml:space="preserve"> PAGEREF _Toc194751796 \h </w:instrText>
      </w:r>
      <w:r>
        <w:rPr>
          <w:rFonts w:hint="default" w:ascii="Times New Roman" w:hAnsi="Times New Roman" w:eastAsia="仿宋_GB2312" w:cs="Times New Roman"/>
          <w:i w:val="0"/>
          <w:iCs w:val="0"/>
          <w:color w:val="000000"/>
          <w:sz w:val="28"/>
          <w:szCs w:val="28"/>
        </w:rPr>
        <w:fldChar w:fldCharType="separate"/>
      </w:r>
      <w:r>
        <w:rPr>
          <w:rFonts w:hint="default" w:ascii="Times New Roman" w:hAnsi="Times New Roman" w:eastAsia="仿宋_GB2312" w:cs="Times New Roman"/>
          <w:i w:val="0"/>
          <w:iCs w:val="0"/>
          <w:color w:val="000000"/>
          <w:sz w:val="28"/>
          <w:szCs w:val="28"/>
        </w:rPr>
        <w:t>105</w:t>
      </w:r>
      <w:r>
        <w:rPr>
          <w:rFonts w:hint="default" w:ascii="Times New Roman" w:hAnsi="Times New Roman" w:eastAsia="仿宋_GB2312" w:cs="Times New Roman"/>
          <w:i w:val="0"/>
          <w:iCs w:val="0"/>
          <w:color w:val="000000"/>
          <w:sz w:val="28"/>
          <w:szCs w:val="28"/>
        </w:rPr>
        <w:fldChar w:fldCharType="end"/>
      </w:r>
      <w:r>
        <w:rPr>
          <w:rFonts w:hint="default" w:ascii="Times New Roman" w:hAnsi="Times New Roman" w:eastAsia="仿宋_GB2312" w:cs="Times New Roman"/>
          <w:i w:val="0"/>
          <w:iCs w:val="0"/>
          <w:color w:val="000000"/>
          <w:sz w:val="28"/>
          <w:szCs w:val="28"/>
        </w:rPr>
        <w:fldChar w:fldCharType="end"/>
      </w:r>
    </w:p>
    <w:p w14:paraId="7A3312D9">
      <w:pPr>
        <w:pStyle w:val="20"/>
        <w:tabs>
          <w:tab w:val="right" w:leader="dot" w:pos="8832"/>
        </w:tabs>
        <w:rPr>
          <w:rFonts w:hint="default" w:ascii="Times New Roman" w:hAnsi="Times New Roman" w:eastAsia="仿宋_GB2312" w:cs="Times New Roman"/>
          <w:i w:val="0"/>
          <w:iCs w:val="0"/>
          <w:color w:val="000000"/>
          <w:sz w:val="28"/>
          <w:szCs w:val="28"/>
        </w:rPr>
      </w:pPr>
      <w:r>
        <w:rPr>
          <w:rFonts w:hint="default" w:ascii="Times New Roman" w:hAnsi="Times New Roman" w:eastAsia="仿宋_GB2312" w:cs="Times New Roman"/>
          <w:i w:val="0"/>
          <w:iCs w:val="0"/>
          <w:color w:val="000000"/>
          <w:sz w:val="28"/>
          <w:szCs w:val="28"/>
        </w:rPr>
        <w:fldChar w:fldCharType="begin"/>
      </w:r>
      <w:r>
        <w:rPr>
          <w:rFonts w:hint="default" w:ascii="Times New Roman" w:hAnsi="Times New Roman" w:eastAsia="仿宋_GB2312" w:cs="Times New Roman"/>
          <w:i w:val="0"/>
          <w:iCs w:val="0"/>
          <w:color w:val="000000"/>
          <w:sz w:val="28"/>
          <w:szCs w:val="28"/>
        </w:rPr>
        <w:instrText xml:space="preserve"> HYPERLINK \l _Toc1841130392 </w:instrText>
      </w:r>
      <w:r>
        <w:rPr>
          <w:rFonts w:hint="default" w:ascii="Times New Roman" w:hAnsi="Times New Roman" w:eastAsia="仿宋_GB2312" w:cs="Times New Roman"/>
          <w:i w:val="0"/>
          <w:iCs w:val="0"/>
          <w:color w:val="000000"/>
          <w:sz w:val="28"/>
          <w:szCs w:val="28"/>
        </w:rPr>
        <w:fldChar w:fldCharType="separate"/>
      </w:r>
      <w:r>
        <w:rPr>
          <w:rFonts w:hint="default" w:ascii="Times New Roman" w:hAnsi="Times New Roman" w:eastAsia="仿宋_GB2312" w:cs="Times New Roman"/>
          <w:i w:val="0"/>
          <w:iCs w:val="0"/>
          <w:color w:val="000000"/>
          <w:sz w:val="28"/>
          <w:szCs w:val="28"/>
        </w:rPr>
        <w:t>附录F 城市自体检报告范本</w:t>
      </w:r>
      <w:r>
        <w:rPr>
          <w:rFonts w:hint="default" w:ascii="Times New Roman" w:hAnsi="Times New Roman" w:eastAsia="仿宋_GB2312" w:cs="Times New Roman"/>
          <w:i w:val="0"/>
          <w:iCs w:val="0"/>
          <w:color w:val="000000"/>
          <w:sz w:val="28"/>
          <w:szCs w:val="28"/>
        </w:rPr>
        <w:tab/>
      </w:r>
      <w:r>
        <w:rPr>
          <w:rFonts w:hint="default" w:ascii="Times New Roman" w:hAnsi="Times New Roman" w:eastAsia="仿宋_GB2312" w:cs="Times New Roman"/>
          <w:i w:val="0"/>
          <w:iCs w:val="0"/>
          <w:color w:val="000000"/>
          <w:sz w:val="28"/>
          <w:szCs w:val="28"/>
        </w:rPr>
        <w:fldChar w:fldCharType="begin"/>
      </w:r>
      <w:r>
        <w:rPr>
          <w:rFonts w:hint="default" w:ascii="Times New Roman" w:hAnsi="Times New Roman" w:eastAsia="仿宋_GB2312" w:cs="Times New Roman"/>
          <w:i w:val="0"/>
          <w:iCs w:val="0"/>
          <w:color w:val="000000"/>
          <w:sz w:val="28"/>
          <w:szCs w:val="28"/>
        </w:rPr>
        <w:instrText xml:space="preserve"> PAGEREF _Toc1841130392 \h </w:instrText>
      </w:r>
      <w:r>
        <w:rPr>
          <w:rFonts w:hint="default" w:ascii="Times New Roman" w:hAnsi="Times New Roman" w:eastAsia="仿宋_GB2312" w:cs="Times New Roman"/>
          <w:i w:val="0"/>
          <w:iCs w:val="0"/>
          <w:color w:val="000000"/>
          <w:sz w:val="28"/>
          <w:szCs w:val="28"/>
        </w:rPr>
        <w:fldChar w:fldCharType="separate"/>
      </w:r>
      <w:r>
        <w:rPr>
          <w:rFonts w:hint="default" w:ascii="Times New Roman" w:hAnsi="Times New Roman" w:eastAsia="仿宋_GB2312" w:cs="Times New Roman"/>
          <w:i w:val="0"/>
          <w:iCs w:val="0"/>
          <w:color w:val="000000"/>
          <w:sz w:val="28"/>
          <w:szCs w:val="28"/>
        </w:rPr>
        <w:t>113</w:t>
      </w:r>
      <w:r>
        <w:rPr>
          <w:rFonts w:hint="default" w:ascii="Times New Roman" w:hAnsi="Times New Roman" w:eastAsia="仿宋_GB2312" w:cs="Times New Roman"/>
          <w:i w:val="0"/>
          <w:iCs w:val="0"/>
          <w:color w:val="000000"/>
          <w:sz w:val="28"/>
          <w:szCs w:val="28"/>
        </w:rPr>
        <w:fldChar w:fldCharType="end"/>
      </w:r>
      <w:r>
        <w:rPr>
          <w:rFonts w:hint="default" w:ascii="Times New Roman" w:hAnsi="Times New Roman" w:eastAsia="仿宋_GB2312" w:cs="Times New Roman"/>
          <w:i w:val="0"/>
          <w:iCs w:val="0"/>
          <w:color w:val="000000"/>
          <w:sz w:val="28"/>
          <w:szCs w:val="28"/>
        </w:rPr>
        <w:fldChar w:fldCharType="end"/>
      </w:r>
    </w:p>
    <w:p w14:paraId="75429000">
      <w:pPr>
        <w:pStyle w:val="20"/>
        <w:tabs>
          <w:tab w:val="right" w:leader="dot" w:pos="8832"/>
        </w:tabs>
        <w:rPr>
          <w:rFonts w:hint="default" w:ascii="Times New Roman" w:hAnsi="Times New Roman" w:eastAsia="仿宋_GB2312" w:cs="Times New Roman"/>
          <w:i w:val="0"/>
          <w:iCs w:val="0"/>
          <w:color w:val="000000"/>
          <w:sz w:val="28"/>
          <w:szCs w:val="28"/>
        </w:rPr>
      </w:pPr>
      <w:r>
        <w:rPr>
          <w:rFonts w:hint="default" w:ascii="Times New Roman" w:hAnsi="Times New Roman" w:eastAsia="仿宋_GB2312" w:cs="Times New Roman"/>
          <w:i w:val="0"/>
          <w:iCs w:val="0"/>
          <w:color w:val="000000"/>
          <w:sz w:val="28"/>
          <w:szCs w:val="28"/>
        </w:rPr>
        <w:fldChar w:fldCharType="begin"/>
      </w:r>
      <w:r>
        <w:rPr>
          <w:rFonts w:hint="default" w:ascii="Times New Roman" w:hAnsi="Times New Roman" w:eastAsia="仿宋_GB2312" w:cs="Times New Roman"/>
          <w:i w:val="0"/>
          <w:iCs w:val="0"/>
          <w:color w:val="000000"/>
          <w:sz w:val="28"/>
          <w:szCs w:val="28"/>
        </w:rPr>
        <w:instrText xml:space="preserve"> HYPERLINK \l _Toc1849469689 </w:instrText>
      </w:r>
      <w:r>
        <w:rPr>
          <w:rFonts w:hint="default" w:ascii="Times New Roman" w:hAnsi="Times New Roman" w:eastAsia="仿宋_GB2312" w:cs="Times New Roman"/>
          <w:i w:val="0"/>
          <w:iCs w:val="0"/>
          <w:color w:val="000000"/>
          <w:sz w:val="28"/>
          <w:szCs w:val="28"/>
        </w:rPr>
        <w:fldChar w:fldCharType="separate"/>
      </w:r>
      <w:r>
        <w:rPr>
          <w:rFonts w:hint="default" w:ascii="Times New Roman" w:hAnsi="Times New Roman" w:eastAsia="仿宋_GB2312" w:cs="Times New Roman"/>
          <w:i w:val="0"/>
          <w:iCs w:val="0"/>
          <w:color w:val="000000"/>
          <w:sz w:val="28"/>
          <w:szCs w:val="28"/>
        </w:rPr>
        <w:t>附录G 城市第三方体检报告范本</w:t>
      </w:r>
      <w:r>
        <w:rPr>
          <w:rFonts w:hint="default" w:ascii="Times New Roman" w:hAnsi="Times New Roman" w:eastAsia="仿宋_GB2312" w:cs="Times New Roman"/>
          <w:i w:val="0"/>
          <w:iCs w:val="0"/>
          <w:color w:val="000000"/>
          <w:sz w:val="28"/>
          <w:szCs w:val="28"/>
        </w:rPr>
        <w:tab/>
      </w:r>
      <w:r>
        <w:rPr>
          <w:rFonts w:hint="default" w:ascii="Times New Roman" w:hAnsi="Times New Roman" w:eastAsia="仿宋_GB2312" w:cs="Times New Roman"/>
          <w:i w:val="0"/>
          <w:iCs w:val="0"/>
          <w:color w:val="000000"/>
          <w:sz w:val="28"/>
          <w:szCs w:val="28"/>
        </w:rPr>
        <w:fldChar w:fldCharType="begin"/>
      </w:r>
      <w:r>
        <w:rPr>
          <w:rFonts w:hint="default" w:ascii="Times New Roman" w:hAnsi="Times New Roman" w:eastAsia="仿宋_GB2312" w:cs="Times New Roman"/>
          <w:i w:val="0"/>
          <w:iCs w:val="0"/>
          <w:color w:val="000000"/>
          <w:sz w:val="28"/>
          <w:szCs w:val="28"/>
        </w:rPr>
        <w:instrText xml:space="preserve"> PAGEREF _Toc1849469689 \h </w:instrText>
      </w:r>
      <w:r>
        <w:rPr>
          <w:rFonts w:hint="default" w:ascii="Times New Roman" w:hAnsi="Times New Roman" w:eastAsia="仿宋_GB2312" w:cs="Times New Roman"/>
          <w:i w:val="0"/>
          <w:iCs w:val="0"/>
          <w:color w:val="000000"/>
          <w:sz w:val="28"/>
          <w:szCs w:val="28"/>
        </w:rPr>
        <w:fldChar w:fldCharType="separate"/>
      </w:r>
      <w:r>
        <w:rPr>
          <w:rFonts w:hint="default" w:ascii="Times New Roman" w:hAnsi="Times New Roman" w:eastAsia="仿宋_GB2312" w:cs="Times New Roman"/>
          <w:i w:val="0"/>
          <w:iCs w:val="0"/>
          <w:color w:val="000000"/>
          <w:sz w:val="28"/>
          <w:szCs w:val="28"/>
        </w:rPr>
        <w:t>118</w:t>
      </w:r>
      <w:r>
        <w:rPr>
          <w:rFonts w:hint="default" w:ascii="Times New Roman" w:hAnsi="Times New Roman" w:eastAsia="仿宋_GB2312" w:cs="Times New Roman"/>
          <w:i w:val="0"/>
          <w:iCs w:val="0"/>
          <w:color w:val="000000"/>
          <w:sz w:val="28"/>
          <w:szCs w:val="28"/>
        </w:rPr>
        <w:fldChar w:fldCharType="end"/>
      </w:r>
      <w:r>
        <w:rPr>
          <w:rFonts w:hint="default" w:ascii="Times New Roman" w:hAnsi="Times New Roman" w:eastAsia="仿宋_GB2312" w:cs="Times New Roman"/>
          <w:i w:val="0"/>
          <w:iCs w:val="0"/>
          <w:color w:val="000000"/>
          <w:sz w:val="28"/>
          <w:szCs w:val="28"/>
        </w:rPr>
        <w:fldChar w:fldCharType="end"/>
      </w:r>
    </w:p>
    <w:p w14:paraId="26D13E19">
      <w:pPr>
        <w:pStyle w:val="20"/>
        <w:tabs>
          <w:tab w:val="right" w:leader="dot" w:pos="8832"/>
        </w:tabs>
        <w:rPr>
          <w:rFonts w:hint="default" w:ascii="Times New Roman" w:hAnsi="Times New Roman" w:eastAsia="仿宋_GB2312" w:cs="Times New Roman"/>
          <w:i w:val="0"/>
          <w:iCs w:val="0"/>
          <w:color w:val="000000"/>
          <w:sz w:val="28"/>
          <w:szCs w:val="28"/>
        </w:rPr>
      </w:pPr>
      <w:r>
        <w:rPr>
          <w:rFonts w:hint="default" w:ascii="Times New Roman" w:hAnsi="Times New Roman" w:eastAsia="仿宋_GB2312" w:cs="Times New Roman"/>
          <w:i w:val="0"/>
          <w:iCs w:val="0"/>
          <w:color w:val="000000"/>
          <w:sz w:val="28"/>
          <w:szCs w:val="28"/>
        </w:rPr>
        <w:fldChar w:fldCharType="begin"/>
      </w:r>
      <w:r>
        <w:rPr>
          <w:rFonts w:hint="default" w:ascii="Times New Roman" w:hAnsi="Times New Roman" w:eastAsia="仿宋_GB2312" w:cs="Times New Roman"/>
          <w:i w:val="0"/>
          <w:iCs w:val="0"/>
          <w:color w:val="000000"/>
          <w:sz w:val="28"/>
          <w:szCs w:val="28"/>
        </w:rPr>
        <w:instrText xml:space="preserve"> HYPERLINK \l _Toc53958004 </w:instrText>
      </w:r>
      <w:r>
        <w:rPr>
          <w:rFonts w:hint="default" w:ascii="Times New Roman" w:hAnsi="Times New Roman" w:eastAsia="仿宋_GB2312" w:cs="Times New Roman"/>
          <w:i w:val="0"/>
          <w:iCs w:val="0"/>
          <w:color w:val="000000"/>
          <w:sz w:val="28"/>
          <w:szCs w:val="28"/>
        </w:rPr>
        <w:fldChar w:fldCharType="separate"/>
      </w:r>
      <w:r>
        <w:rPr>
          <w:rFonts w:hint="default" w:ascii="Times New Roman" w:hAnsi="Times New Roman" w:eastAsia="仿宋_GB2312" w:cs="Times New Roman"/>
          <w:i w:val="0"/>
          <w:iCs w:val="0"/>
          <w:color w:val="000000"/>
          <w:sz w:val="28"/>
          <w:szCs w:val="28"/>
        </w:rPr>
        <w:t>附录H 社会满意度调查与评价工作手册</w:t>
      </w:r>
      <w:r>
        <w:rPr>
          <w:rFonts w:hint="default" w:ascii="Times New Roman" w:hAnsi="Times New Roman" w:eastAsia="仿宋_GB2312" w:cs="Times New Roman"/>
          <w:i w:val="0"/>
          <w:iCs w:val="0"/>
          <w:color w:val="000000"/>
          <w:sz w:val="28"/>
          <w:szCs w:val="28"/>
        </w:rPr>
        <w:tab/>
      </w:r>
      <w:r>
        <w:rPr>
          <w:rFonts w:hint="default" w:ascii="Times New Roman" w:hAnsi="Times New Roman" w:eastAsia="仿宋_GB2312" w:cs="Times New Roman"/>
          <w:i w:val="0"/>
          <w:iCs w:val="0"/>
          <w:color w:val="000000"/>
          <w:sz w:val="28"/>
          <w:szCs w:val="28"/>
        </w:rPr>
        <w:fldChar w:fldCharType="begin"/>
      </w:r>
      <w:r>
        <w:rPr>
          <w:rFonts w:hint="default" w:ascii="Times New Roman" w:hAnsi="Times New Roman" w:eastAsia="仿宋_GB2312" w:cs="Times New Roman"/>
          <w:i w:val="0"/>
          <w:iCs w:val="0"/>
          <w:color w:val="000000"/>
          <w:sz w:val="28"/>
          <w:szCs w:val="28"/>
        </w:rPr>
        <w:instrText xml:space="preserve"> PAGEREF _Toc53958004 \h </w:instrText>
      </w:r>
      <w:r>
        <w:rPr>
          <w:rFonts w:hint="default" w:ascii="Times New Roman" w:hAnsi="Times New Roman" w:eastAsia="仿宋_GB2312" w:cs="Times New Roman"/>
          <w:i w:val="0"/>
          <w:iCs w:val="0"/>
          <w:color w:val="000000"/>
          <w:sz w:val="28"/>
          <w:szCs w:val="28"/>
        </w:rPr>
        <w:fldChar w:fldCharType="separate"/>
      </w:r>
      <w:r>
        <w:rPr>
          <w:rFonts w:hint="default" w:ascii="Times New Roman" w:hAnsi="Times New Roman" w:eastAsia="仿宋_GB2312" w:cs="Times New Roman"/>
          <w:i w:val="0"/>
          <w:iCs w:val="0"/>
          <w:color w:val="000000"/>
          <w:sz w:val="28"/>
          <w:szCs w:val="28"/>
        </w:rPr>
        <w:t>122</w:t>
      </w:r>
      <w:r>
        <w:rPr>
          <w:rFonts w:hint="default" w:ascii="Times New Roman" w:hAnsi="Times New Roman" w:eastAsia="仿宋_GB2312" w:cs="Times New Roman"/>
          <w:i w:val="0"/>
          <w:iCs w:val="0"/>
          <w:color w:val="000000"/>
          <w:sz w:val="28"/>
          <w:szCs w:val="28"/>
        </w:rPr>
        <w:fldChar w:fldCharType="end"/>
      </w:r>
      <w:r>
        <w:rPr>
          <w:rFonts w:hint="default" w:ascii="Times New Roman" w:hAnsi="Times New Roman" w:eastAsia="仿宋_GB2312" w:cs="Times New Roman"/>
          <w:i w:val="0"/>
          <w:iCs w:val="0"/>
          <w:color w:val="000000"/>
          <w:sz w:val="28"/>
          <w:szCs w:val="28"/>
        </w:rPr>
        <w:fldChar w:fldCharType="end"/>
      </w:r>
    </w:p>
    <w:p w14:paraId="4FF221CD">
      <w:pPr>
        <w:pStyle w:val="20"/>
        <w:tabs>
          <w:tab w:val="right" w:leader="dot" w:pos="8822"/>
        </w:tabs>
        <w:rPr>
          <w:rStyle w:val="33"/>
          <w:rFonts w:hint="default" w:ascii="Times New Roman" w:hAnsi="Times New Roman" w:eastAsia="仿宋" w:cs="Times New Roman"/>
          <w:b w:val="0"/>
          <w:i w:val="0"/>
          <w:color w:val="000000"/>
          <w:sz w:val="28"/>
          <w:szCs w:val="28"/>
        </w:rPr>
      </w:pPr>
      <w:r>
        <w:rPr>
          <w:rFonts w:hint="default" w:ascii="Times New Roman" w:hAnsi="Times New Roman" w:eastAsia="仿宋_GB2312" w:cs="Times New Roman"/>
          <w:i w:val="0"/>
          <w:color w:val="000000"/>
          <w:szCs w:val="28"/>
        </w:rPr>
        <w:fldChar w:fldCharType="end"/>
      </w:r>
    </w:p>
    <w:p w14:paraId="3FAE4799">
      <w:pPr>
        <w:rPr>
          <w:rFonts w:hint="default" w:ascii="Times New Roman" w:hAnsi="Times New Roman" w:cs="Times New Roman"/>
        </w:rPr>
        <w:sectPr>
          <w:headerReference r:id="rId4" w:type="default"/>
          <w:footerReference r:id="rId5" w:type="default"/>
          <w:pgSz w:w="11910" w:h="16840"/>
          <w:pgMar w:top="1542" w:right="1400" w:bottom="1259" w:left="1678" w:header="0" w:footer="1060" w:gutter="0"/>
          <w:pgNumType w:start="1"/>
          <w:cols w:space="720" w:num="1"/>
        </w:sectPr>
      </w:pPr>
    </w:p>
    <w:p w14:paraId="0AA7AA97">
      <w:pPr>
        <w:pStyle w:val="4"/>
        <w:pageBreakBefore w:val="0"/>
        <w:widowControl w:val="0"/>
        <w:numPr>
          <w:ilvl w:val="0"/>
          <w:numId w:val="3"/>
        </w:numPr>
        <w:kinsoku/>
        <w:wordWrap/>
        <w:overflowPunct/>
        <w:topLinePunct w:val="0"/>
        <w:autoSpaceDE/>
        <w:autoSpaceDN/>
        <w:bidi w:val="0"/>
        <w:adjustRightInd/>
        <w:snapToGrid/>
        <w:spacing w:before="0" w:after="0" w:line="540" w:lineRule="exact"/>
        <w:jc w:val="both"/>
        <w:textAlignment w:val="auto"/>
        <w:rPr>
          <w:rFonts w:hint="default" w:ascii="Times New Roman" w:hAnsi="Times New Roman" w:eastAsia="仿宋_GB2312" w:cs="Times New Roman"/>
          <w:color w:val="000000"/>
          <w:sz w:val="32"/>
          <w:szCs w:val="32"/>
        </w:rPr>
      </w:pPr>
      <w:bookmarkStart w:id="0" w:name="_Toc518001361"/>
      <w:r>
        <w:rPr>
          <w:rFonts w:hint="default" w:ascii="Times New Roman" w:hAnsi="Times New Roman" w:eastAsia="仿宋_GB2312" w:cs="Times New Roman"/>
          <w:color w:val="000000"/>
          <w:sz w:val="32"/>
          <w:szCs w:val="32"/>
        </w:rPr>
        <w:t>总则</w:t>
      </w:r>
      <w:bookmarkEnd w:id="0"/>
    </w:p>
    <w:p w14:paraId="7E26D192">
      <w:pPr>
        <w:pStyle w:val="5"/>
        <w:pageBreakBefore w:val="0"/>
        <w:widowControl w:val="0"/>
        <w:numPr>
          <w:ilvl w:val="0"/>
          <w:numId w:val="4"/>
        </w:numPr>
        <w:kinsoku/>
        <w:wordWrap/>
        <w:overflowPunct/>
        <w:topLinePunct w:val="0"/>
        <w:autoSpaceDE/>
        <w:autoSpaceDN/>
        <w:bidi w:val="0"/>
        <w:adjustRightInd/>
        <w:snapToGrid/>
        <w:spacing w:before="0" w:beforeLines="0" w:after="0" w:afterLines="0" w:line="540" w:lineRule="exact"/>
        <w:ind w:firstLineChars="0"/>
        <w:textAlignment w:val="auto"/>
        <w:rPr>
          <w:rFonts w:hint="default" w:ascii="Times New Roman" w:hAnsi="Times New Roman" w:eastAsia="仿宋_GB2312" w:cs="Times New Roman"/>
          <w:color w:val="000000"/>
          <w:sz w:val="32"/>
          <w:szCs w:val="32"/>
        </w:rPr>
      </w:pPr>
      <w:bookmarkStart w:id="1" w:name="_Toc1837050542"/>
      <w:r>
        <w:rPr>
          <w:rFonts w:hint="default" w:ascii="Times New Roman" w:hAnsi="Times New Roman" w:eastAsia="仿宋_GB2312" w:cs="Times New Roman"/>
          <w:color w:val="000000"/>
          <w:sz w:val="32"/>
          <w:szCs w:val="32"/>
        </w:rPr>
        <w:t>编制目的</w:t>
      </w:r>
      <w:bookmarkEnd w:id="1"/>
    </w:p>
    <w:p w14:paraId="5E95D791">
      <w:pPr>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iCs/>
          <w:color w:val="000000"/>
          <w:spacing w:val="-2"/>
          <w:sz w:val="32"/>
          <w:szCs w:val="32"/>
          <w:lang w:val="zh-CN" w:bidi="zh-CN"/>
        </w:rPr>
      </w:pPr>
      <w:r>
        <w:rPr>
          <w:rFonts w:hint="default" w:ascii="Times New Roman" w:hAnsi="Times New Roman" w:eastAsia="仿宋_GB2312" w:cs="Times New Roman"/>
          <w:iCs/>
          <w:color w:val="000000"/>
          <w:spacing w:val="-2"/>
          <w:sz w:val="32"/>
          <w:szCs w:val="32"/>
          <w:lang w:val="zh-CN" w:bidi="zh-CN"/>
        </w:rPr>
        <w:t>城市体检是落实新发展理念和以人民为中心的发展思想，围绕城市高质量发展目标统筹城市规划建设管理，推动实施城市更新行动的一项工作制度。城市体检主要通过建立指标体系，运用统计、社会调查等方法采集和分析城市相关信息，全面系统查找城市</w:t>
      </w:r>
      <w:r>
        <w:rPr>
          <w:rFonts w:hint="default" w:ascii="Times New Roman" w:hAnsi="Times New Roman" w:eastAsia="仿宋_GB2312" w:cs="Times New Roman"/>
          <w:iCs/>
          <w:color w:val="000000"/>
          <w:spacing w:val="-2"/>
          <w:sz w:val="32"/>
          <w:szCs w:val="32"/>
          <w:lang w:bidi="zh-CN"/>
        </w:rPr>
        <w:t>建设</w:t>
      </w:r>
      <w:r>
        <w:rPr>
          <w:rFonts w:hint="default" w:ascii="Times New Roman" w:hAnsi="Times New Roman" w:eastAsia="仿宋_GB2312" w:cs="Times New Roman"/>
          <w:iCs/>
          <w:color w:val="000000"/>
          <w:spacing w:val="-2"/>
          <w:sz w:val="32"/>
          <w:szCs w:val="32"/>
          <w:lang w:val="zh-CN" w:bidi="zh-CN"/>
        </w:rPr>
        <w:t>的</w:t>
      </w:r>
      <w:r>
        <w:rPr>
          <w:rFonts w:hint="default" w:ascii="Times New Roman" w:hAnsi="Times New Roman" w:eastAsia="仿宋_GB2312" w:cs="Times New Roman"/>
          <w:iCs/>
          <w:color w:val="000000"/>
          <w:spacing w:val="-2"/>
          <w:sz w:val="32"/>
          <w:szCs w:val="32"/>
          <w:lang w:bidi="zh-CN"/>
        </w:rPr>
        <w:t>优势</w:t>
      </w:r>
      <w:r>
        <w:rPr>
          <w:rFonts w:hint="default" w:ascii="Times New Roman" w:hAnsi="Times New Roman" w:eastAsia="仿宋_GB2312" w:cs="Times New Roman"/>
          <w:iCs/>
          <w:color w:val="000000"/>
          <w:spacing w:val="-2"/>
          <w:sz w:val="32"/>
          <w:szCs w:val="32"/>
          <w:lang w:val="zh-CN" w:bidi="zh-CN"/>
        </w:rPr>
        <w:t>和短板，把握城市</w:t>
      </w:r>
      <w:r>
        <w:rPr>
          <w:rFonts w:hint="default" w:ascii="Times New Roman" w:hAnsi="Times New Roman" w:eastAsia="仿宋_GB2312" w:cs="Times New Roman"/>
          <w:iCs/>
          <w:color w:val="000000"/>
          <w:spacing w:val="-2"/>
          <w:sz w:val="32"/>
          <w:szCs w:val="32"/>
          <w:lang w:bidi="zh-CN"/>
        </w:rPr>
        <w:t>健康</w:t>
      </w:r>
      <w:r>
        <w:rPr>
          <w:rFonts w:hint="default" w:ascii="Times New Roman" w:hAnsi="Times New Roman" w:eastAsia="仿宋_GB2312" w:cs="Times New Roman"/>
          <w:iCs/>
          <w:color w:val="000000"/>
          <w:spacing w:val="-2"/>
          <w:sz w:val="32"/>
          <w:szCs w:val="32"/>
          <w:lang w:val="zh-CN" w:bidi="zh-CN"/>
        </w:rPr>
        <w:t>状态，发现城市问题，督促开展城市治理活动，推动城市建设</w:t>
      </w:r>
      <w:r>
        <w:rPr>
          <w:rFonts w:hint="default" w:ascii="Times New Roman" w:hAnsi="Times New Roman" w:eastAsia="仿宋_GB2312" w:cs="Times New Roman"/>
          <w:iCs/>
          <w:color w:val="000000"/>
          <w:spacing w:val="-2"/>
          <w:sz w:val="32"/>
          <w:szCs w:val="32"/>
          <w:lang w:bidi="zh-CN"/>
        </w:rPr>
        <w:t>高质量发展</w:t>
      </w:r>
      <w:r>
        <w:rPr>
          <w:rFonts w:hint="default" w:ascii="Times New Roman" w:hAnsi="Times New Roman" w:eastAsia="仿宋_GB2312" w:cs="Times New Roman"/>
          <w:iCs/>
          <w:color w:val="000000"/>
          <w:spacing w:val="-2"/>
          <w:sz w:val="32"/>
          <w:szCs w:val="32"/>
          <w:lang w:val="zh-CN" w:bidi="zh-CN"/>
        </w:rPr>
        <w:t>。</w:t>
      </w:r>
    </w:p>
    <w:p w14:paraId="588F1EF8">
      <w:pPr>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iCs/>
          <w:color w:val="000000"/>
          <w:spacing w:val="-2"/>
          <w:sz w:val="32"/>
          <w:szCs w:val="32"/>
          <w:lang w:val="zh-CN" w:bidi="zh-CN"/>
        </w:rPr>
      </w:pPr>
      <w:r>
        <w:rPr>
          <w:rFonts w:hint="default" w:ascii="Times New Roman" w:hAnsi="Times New Roman" w:eastAsia="仿宋_GB2312" w:cs="Times New Roman"/>
          <w:iCs/>
          <w:color w:val="000000"/>
          <w:spacing w:val="-2"/>
          <w:sz w:val="32"/>
          <w:szCs w:val="32"/>
          <w:lang w:val="zh-CN" w:bidi="zh-CN"/>
        </w:rPr>
        <w:t>为进一步推广城市体检工作经验、规范城市体检工作成果，更好指导我省城市体检的工作实践，特制定本导则。</w:t>
      </w:r>
    </w:p>
    <w:p w14:paraId="551EB397">
      <w:pPr>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sz w:val="32"/>
          <w:szCs w:val="32"/>
          <w:lang w:val="zh-CN" w:bidi="zh-CN"/>
        </w:rPr>
      </w:pPr>
      <w:r>
        <w:rPr>
          <w:rFonts w:hint="default" w:ascii="Times New Roman" w:hAnsi="Times New Roman" w:eastAsia="仿宋_GB2312" w:cs="Times New Roman"/>
          <w:iCs/>
          <w:color w:val="000000"/>
          <w:spacing w:val="-2"/>
          <w:sz w:val="32"/>
          <w:szCs w:val="32"/>
          <w:lang w:val="zh-CN" w:bidi="zh-CN"/>
        </w:rPr>
        <w:t>导则规定了我省各设区市（含平潭综合实验区，下同）开展城市体检的工作目标、工作原则、工作组织和工作内容，说明了各设区市开展城市体检工作时的指标计算、成果应用以及成果提交形式等内容。</w:t>
      </w:r>
    </w:p>
    <w:p w14:paraId="147D2697">
      <w:pPr>
        <w:pStyle w:val="5"/>
        <w:pageBreakBefore w:val="0"/>
        <w:widowControl w:val="0"/>
        <w:numPr>
          <w:ilvl w:val="0"/>
          <w:numId w:val="4"/>
        </w:numPr>
        <w:kinsoku/>
        <w:wordWrap/>
        <w:overflowPunct/>
        <w:topLinePunct w:val="0"/>
        <w:autoSpaceDE/>
        <w:autoSpaceDN/>
        <w:bidi w:val="0"/>
        <w:adjustRightInd/>
        <w:snapToGrid/>
        <w:spacing w:before="0" w:beforeLines="0" w:after="0" w:afterLines="0" w:line="540" w:lineRule="exact"/>
        <w:ind w:firstLineChars="0"/>
        <w:textAlignment w:val="auto"/>
        <w:rPr>
          <w:rFonts w:hint="default" w:ascii="Times New Roman" w:hAnsi="Times New Roman" w:eastAsia="仿宋_GB2312" w:cs="Times New Roman"/>
          <w:color w:val="000000"/>
          <w:sz w:val="32"/>
          <w:szCs w:val="32"/>
        </w:rPr>
      </w:pPr>
      <w:bookmarkStart w:id="2" w:name="_Toc801892542"/>
      <w:r>
        <w:rPr>
          <w:rFonts w:hint="default" w:ascii="Times New Roman" w:hAnsi="Times New Roman" w:eastAsia="仿宋_GB2312" w:cs="Times New Roman"/>
          <w:color w:val="000000"/>
          <w:sz w:val="32"/>
          <w:szCs w:val="32"/>
        </w:rPr>
        <w:t>适用范围</w:t>
      </w:r>
      <w:bookmarkEnd w:id="2"/>
    </w:p>
    <w:p w14:paraId="707E1625">
      <w:pPr>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iCs/>
          <w:color w:val="FF0000"/>
          <w:spacing w:val="-2"/>
          <w:sz w:val="32"/>
          <w:szCs w:val="32"/>
          <w:lang w:val="zh-CN" w:bidi="zh-CN"/>
        </w:rPr>
      </w:pPr>
      <w:r>
        <w:rPr>
          <w:rFonts w:hint="default" w:ascii="Times New Roman" w:hAnsi="Times New Roman" w:eastAsia="仿宋_GB2312" w:cs="Times New Roman"/>
          <w:iCs/>
          <w:color w:val="000000"/>
          <w:spacing w:val="-2"/>
          <w:sz w:val="32"/>
          <w:szCs w:val="32"/>
          <w:lang w:val="zh-CN" w:bidi="zh-CN"/>
        </w:rPr>
        <w:t>本导则适用于我省</w:t>
      </w:r>
      <w:r>
        <w:rPr>
          <w:rFonts w:hint="eastAsia" w:ascii="Times New Roman" w:hAnsi="Times New Roman" w:eastAsia="仿宋_GB2312" w:cs="Times New Roman"/>
          <w:iCs/>
          <w:color w:val="000000"/>
          <w:spacing w:val="-2"/>
          <w:sz w:val="32"/>
          <w:szCs w:val="32"/>
          <w:lang w:val="zh-CN" w:bidi="zh-CN"/>
        </w:rPr>
        <w:t>各</w:t>
      </w:r>
      <w:r>
        <w:rPr>
          <w:rFonts w:hint="default" w:ascii="Times New Roman" w:hAnsi="Times New Roman" w:eastAsia="仿宋_GB2312" w:cs="Times New Roman"/>
          <w:iCs/>
          <w:color w:val="000000"/>
          <w:spacing w:val="-2"/>
          <w:sz w:val="32"/>
          <w:szCs w:val="32"/>
          <w:lang w:val="zh-CN" w:bidi="zh-CN"/>
        </w:rPr>
        <w:t>设区市开展城市体检评估工作，各设区市可根据本</w:t>
      </w:r>
      <w:r>
        <w:rPr>
          <w:rFonts w:hint="default" w:ascii="Times New Roman" w:hAnsi="Times New Roman" w:eastAsia="仿宋_GB2312" w:cs="Times New Roman"/>
          <w:iCs/>
          <w:color w:val="000000"/>
          <w:spacing w:val="-2"/>
          <w:sz w:val="32"/>
          <w:szCs w:val="32"/>
          <w:lang w:bidi="zh-CN"/>
        </w:rPr>
        <w:t>导则</w:t>
      </w:r>
      <w:r>
        <w:rPr>
          <w:rFonts w:hint="default" w:ascii="Times New Roman" w:hAnsi="Times New Roman" w:eastAsia="仿宋_GB2312" w:cs="Times New Roman"/>
          <w:iCs/>
          <w:color w:val="000000"/>
          <w:spacing w:val="-2"/>
          <w:sz w:val="32"/>
          <w:szCs w:val="32"/>
          <w:lang w:val="zh-CN" w:bidi="zh-CN"/>
        </w:rPr>
        <w:t>，制定符合本地实际的实施细则。</w:t>
      </w:r>
      <w:r>
        <w:rPr>
          <w:rFonts w:hint="default" w:ascii="Times New Roman" w:hAnsi="Times New Roman" w:eastAsia="仿宋_GB2312" w:cs="Times New Roman"/>
          <w:iCs/>
          <w:spacing w:val="-2"/>
          <w:sz w:val="32"/>
          <w:szCs w:val="32"/>
          <w:lang w:val="zh-CN" w:bidi="zh-CN"/>
        </w:rPr>
        <w:t>县城和县级市可参照本</w:t>
      </w:r>
      <w:r>
        <w:rPr>
          <w:rFonts w:hint="default" w:ascii="Times New Roman" w:hAnsi="Times New Roman" w:eastAsia="仿宋_GB2312" w:cs="Times New Roman"/>
          <w:iCs/>
          <w:spacing w:val="-2"/>
          <w:sz w:val="32"/>
          <w:szCs w:val="32"/>
          <w:lang w:bidi="zh-CN"/>
        </w:rPr>
        <w:t>导则</w:t>
      </w:r>
      <w:r>
        <w:rPr>
          <w:rFonts w:hint="default" w:ascii="Times New Roman" w:hAnsi="Times New Roman" w:eastAsia="仿宋_GB2312" w:cs="Times New Roman"/>
          <w:iCs/>
          <w:spacing w:val="-2"/>
          <w:sz w:val="32"/>
          <w:szCs w:val="32"/>
          <w:lang w:val="zh-CN" w:bidi="zh-CN"/>
        </w:rPr>
        <w:t>开展</w:t>
      </w:r>
      <w:r>
        <w:rPr>
          <w:rFonts w:hint="default" w:ascii="Times New Roman" w:hAnsi="Times New Roman" w:eastAsia="仿宋_GB2312" w:cs="Times New Roman"/>
          <w:iCs/>
          <w:spacing w:val="-2"/>
          <w:sz w:val="32"/>
          <w:szCs w:val="32"/>
          <w:lang w:bidi="zh-CN"/>
        </w:rPr>
        <w:t>城市</w:t>
      </w:r>
      <w:r>
        <w:rPr>
          <w:rFonts w:hint="default" w:ascii="Times New Roman" w:hAnsi="Times New Roman" w:eastAsia="仿宋_GB2312" w:cs="Times New Roman"/>
          <w:iCs/>
          <w:spacing w:val="-2"/>
          <w:sz w:val="32"/>
          <w:szCs w:val="32"/>
          <w:lang w:val="zh-CN" w:bidi="zh-CN"/>
        </w:rPr>
        <w:t>体检评估工作。</w:t>
      </w:r>
    </w:p>
    <w:p w14:paraId="154A010E">
      <w:pPr>
        <w:pStyle w:val="5"/>
        <w:pageBreakBefore w:val="0"/>
        <w:widowControl w:val="0"/>
        <w:numPr>
          <w:ilvl w:val="0"/>
          <w:numId w:val="4"/>
        </w:numPr>
        <w:kinsoku/>
        <w:wordWrap/>
        <w:overflowPunct/>
        <w:topLinePunct w:val="0"/>
        <w:autoSpaceDE/>
        <w:autoSpaceDN/>
        <w:bidi w:val="0"/>
        <w:adjustRightInd/>
        <w:snapToGrid/>
        <w:spacing w:before="0" w:beforeLines="0" w:after="0" w:afterLines="0" w:line="540" w:lineRule="exact"/>
        <w:ind w:firstLineChars="0"/>
        <w:textAlignment w:val="auto"/>
        <w:rPr>
          <w:rFonts w:hint="default" w:ascii="Times New Roman" w:hAnsi="Times New Roman" w:eastAsia="仿宋_GB2312" w:cs="Times New Roman"/>
          <w:color w:val="000000"/>
          <w:sz w:val="32"/>
          <w:szCs w:val="32"/>
        </w:rPr>
      </w:pPr>
      <w:bookmarkStart w:id="3" w:name="_Toc770893864"/>
      <w:r>
        <w:rPr>
          <w:rFonts w:hint="default" w:ascii="Times New Roman" w:hAnsi="Times New Roman" w:eastAsia="仿宋_GB2312" w:cs="Times New Roman"/>
          <w:color w:val="000000"/>
          <w:sz w:val="32"/>
          <w:szCs w:val="32"/>
        </w:rPr>
        <w:t>工作目标</w:t>
      </w:r>
      <w:bookmarkEnd w:id="3"/>
    </w:p>
    <w:p w14:paraId="4A5EA397">
      <w:pPr>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iCs/>
          <w:color w:val="000000"/>
          <w:spacing w:val="-2"/>
          <w:sz w:val="32"/>
          <w:szCs w:val="32"/>
          <w:lang w:val="zh-CN" w:bidi="zh-CN"/>
        </w:rPr>
      </w:pPr>
      <w:r>
        <w:rPr>
          <w:rFonts w:hint="default" w:ascii="Times New Roman" w:hAnsi="Times New Roman" w:eastAsia="仿宋_GB2312" w:cs="Times New Roman"/>
          <w:iCs/>
          <w:color w:val="000000"/>
          <w:spacing w:val="-2"/>
          <w:sz w:val="32"/>
          <w:szCs w:val="32"/>
          <w:lang w:val="zh-CN" w:bidi="zh-CN"/>
        </w:rPr>
        <w:t>以推动城市高质量发展为目标，建设宜居、韧性、智慧城市，查找城市规划、建设、治理过程中存在的问题和短板，努力实现“三个一”的工作目标。</w:t>
      </w:r>
    </w:p>
    <w:p w14:paraId="3780BD83">
      <w:pPr>
        <w:pageBreakBefore w:val="0"/>
        <w:widowControl w:val="0"/>
        <w:kinsoku/>
        <w:wordWrap/>
        <w:overflowPunct/>
        <w:topLinePunct w:val="0"/>
        <w:autoSpaceDE/>
        <w:autoSpaceDN/>
        <w:bidi w:val="0"/>
        <w:adjustRightInd/>
        <w:snapToGrid/>
        <w:spacing w:line="540" w:lineRule="exact"/>
        <w:ind w:firstLine="635" w:firstLineChars="200"/>
        <w:textAlignment w:val="auto"/>
        <w:rPr>
          <w:rFonts w:hint="default" w:ascii="Times New Roman" w:hAnsi="Times New Roman" w:eastAsia="仿宋_GB2312" w:cs="Times New Roman"/>
          <w:iCs/>
          <w:color w:val="000000"/>
          <w:spacing w:val="-2"/>
          <w:sz w:val="32"/>
          <w:szCs w:val="32"/>
          <w:lang w:val="zh-CN" w:bidi="zh-CN"/>
        </w:rPr>
      </w:pPr>
      <w:r>
        <w:rPr>
          <w:rFonts w:hint="default" w:ascii="Times New Roman" w:hAnsi="Times New Roman" w:eastAsia="仿宋_GB2312" w:cs="Times New Roman"/>
          <w:b/>
          <w:bCs/>
          <w:iCs/>
          <w:color w:val="000000"/>
          <w:spacing w:val="-2"/>
          <w:sz w:val="32"/>
          <w:szCs w:val="32"/>
          <w:lang w:val="zh-CN" w:bidi="zh-CN"/>
        </w:rPr>
        <w:t>形成一套具有特色、解决问题的城市体检指标体系。</w:t>
      </w:r>
      <w:r>
        <w:rPr>
          <w:rFonts w:hint="default" w:ascii="Times New Roman" w:hAnsi="Times New Roman" w:eastAsia="仿宋_GB2312" w:cs="Times New Roman"/>
          <w:iCs/>
          <w:color w:val="000000"/>
          <w:spacing w:val="-2"/>
          <w:sz w:val="32"/>
          <w:szCs w:val="32"/>
          <w:lang w:val="zh-CN" w:bidi="zh-CN"/>
        </w:rPr>
        <w:t>根据住建部城市体检基本指标体系，结合福建城市发展阶段需求，客观反映各</w:t>
      </w:r>
      <w:r>
        <w:rPr>
          <w:rFonts w:hint="default" w:ascii="Times New Roman" w:hAnsi="Times New Roman" w:eastAsia="仿宋_GB2312" w:cs="Times New Roman"/>
          <w:iCs/>
          <w:color w:val="000000"/>
          <w:spacing w:val="-2"/>
          <w:sz w:val="32"/>
          <w:szCs w:val="32"/>
          <w:lang w:bidi="zh-CN"/>
        </w:rPr>
        <w:t>地</w:t>
      </w:r>
      <w:r>
        <w:rPr>
          <w:rFonts w:hint="default" w:ascii="Times New Roman" w:hAnsi="Times New Roman" w:eastAsia="仿宋_GB2312" w:cs="Times New Roman"/>
          <w:iCs/>
          <w:color w:val="000000"/>
          <w:spacing w:val="-2"/>
          <w:sz w:val="32"/>
          <w:szCs w:val="32"/>
          <w:lang w:val="zh-CN" w:bidi="zh-CN"/>
        </w:rPr>
        <w:t>城市规划建设管理的实际情况，形成“部级+省级+地市级”城市体检指标体系。“部级”城市体检指标是指住建部发布的当年度城市体检基础指标体系；“省级”城市体检指标是指我省城市体检基础指标体系；“地市级”城市体检指标指各地根据地方</w:t>
      </w:r>
      <w:r>
        <w:rPr>
          <w:rFonts w:hint="default" w:ascii="Times New Roman" w:hAnsi="Times New Roman" w:eastAsia="仿宋_GB2312" w:cs="Times New Roman"/>
          <w:iCs/>
          <w:color w:val="000000"/>
          <w:spacing w:val="-2"/>
          <w:sz w:val="32"/>
          <w:szCs w:val="32"/>
          <w:lang w:bidi="zh-CN"/>
        </w:rPr>
        <w:t>城市</w:t>
      </w:r>
      <w:r>
        <w:rPr>
          <w:rFonts w:hint="default" w:ascii="Times New Roman" w:hAnsi="Times New Roman" w:eastAsia="仿宋_GB2312" w:cs="Times New Roman"/>
          <w:iCs/>
          <w:color w:val="000000"/>
          <w:spacing w:val="-2"/>
          <w:sz w:val="32"/>
          <w:szCs w:val="32"/>
          <w:lang w:val="zh-CN" w:bidi="zh-CN"/>
        </w:rPr>
        <w:t>特点和规划、建设、治理需要提出的城市体检指标体系。</w:t>
      </w:r>
    </w:p>
    <w:p w14:paraId="4DAFA846">
      <w:pPr>
        <w:pageBreakBefore w:val="0"/>
        <w:widowControl w:val="0"/>
        <w:kinsoku/>
        <w:wordWrap/>
        <w:overflowPunct/>
        <w:topLinePunct w:val="0"/>
        <w:autoSpaceDE/>
        <w:autoSpaceDN/>
        <w:bidi w:val="0"/>
        <w:adjustRightInd/>
        <w:snapToGrid/>
        <w:spacing w:line="540" w:lineRule="exact"/>
        <w:ind w:firstLine="635" w:firstLineChars="200"/>
        <w:textAlignment w:val="auto"/>
        <w:rPr>
          <w:rFonts w:hint="default" w:ascii="Times New Roman" w:hAnsi="Times New Roman" w:eastAsia="仿宋_GB2312" w:cs="Times New Roman"/>
          <w:iCs/>
          <w:color w:val="000000"/>
          <w:spacing w:val="-2"/>
          <w:sz w:val="32"/>
          <w:szCs w:val="32"/>
          <w:lang w:val="zh-CN" w:bidi="zh-CN"/>
        </w:rPr>
      </w:pPr>
      <w:r>
        <w:rPr>
          <w:rFonts w:hint="default" w:ascii="Times New Roman" w:hAnsi="Times New Roman" w:eastAsia="仿宋_GB2312" w:cs="Times New Roman"/>
          <w:b/>
          <w:iCs/>
          <w:color w:val="000000"/>
          <w:spacing w:val="-2"/>
          <w:sz w:val="32"/>
          <w:szCs w:val="32"/>
          <w:lang w:val="zh-CN" w:bidi="zh-CN"/>
        </w:rPr>
        <w:t>建立一个系统性的“体检</w:t>
      </w:r>
      <w:r>
        <w:rPr>
          <w:rFonts w:hint="default" w:ascii="Times New Roman" w:hAnsi="Times New Roman" w:eastAsia="仿宋_GB2312" w:cs="Times New Roman"/>
          <w:b/>
          <w:iCs/>
          <w:color w:val="000000"/>
          <w:spacing w:val="-2"/>
          <w:sz w:val="32"/>
          <w:szCs w:val="32"/>
          <w:lang w:bidi="zh-CN"/>
        </w:rPr>
        <w:t>+更新</w:t>
      </w:r>
      <w:r>
        <w:rPr>
          <w:rFonts w:hint="default" w:ascii="Times New Roman" w:hAnsi="Times New Roman" w:eastAsia="仿宋_GB2312" w:cs="Times New Roman"/>
          <w:b/>
          <w:iCs/>
          <w:color w:val="000000"/>
          <w:spacing w:val="-2"/>
          <w:sz w:val="32"/>
          <w:szCs w:val="32"/>
          <w:lang w:val="zh-CN" w:bidi="zh-CN"/>
        </w:rPr>
        <w:t>”闭环长效机制。</w:t>
      </w:r>
      <w:r>
        <w:rPr>
          <w:rFonts w:hint="default" w:ascii="Times New Roman" w:hAnsi="Times New Roman" w:eastAsia="仿宋_GB2312" w:cs="Times New Roman"/>
          <w:iCs/>
          <w:color w:val="000000"/>
          <w:spacing w:val="-2"/>
          <w:sz w:val="32"/>
          <w:szCs w:val="32"/>
          <w:lang w:val="zh-CN" w:bidi="zh-CN"/>
        </w:rPr>
        <w:t>通过“一年一体检，五年一评估”的方式，逐年对城市规划、建设、治理工作整体状况和重点专项领域的工作落实情况进行跟踪、检查、评估。对照城市体检查找的问题开展城市更新专项规划</w:t>
      </w:r>
      <w:r>
        <w:rPr>
          <w:rFonts w:hint="default" w:ascii="Times New Roman" w:hAnsi="Times New Roman" w:eastAsia="仿宋_GB2312" w:cs="Times New Roman"/>
          <w:iCs/>
          <w:color w:val="000000"/>
          <w:spacing w:val="-2"/>
          <w:sz w:val="32"/>
          <w:szCs w:val="32"/>
          <w:lang w:bidi="zh-CN"/>
        </w:rPr>
        <w:t>和年度实施计划</w:t>
      </w:r>
      <w:r>
        <w:rPr>
          <w:rFonts w:hint="default" w:ascii="Times New Roman" w:hAnsi="Times New Roman" w:eastAsia="仿宋_GB2312" w:cs="Times New Roman"/>
          <w:iCs/>
          <w:color w:val="000000"/>
          <w:spacing w:val="-2"/>
          <w:sz w:val="32"/>
          <w:szCs w:val="32"/>
          <w:lang w:val="zh-CN" w:bidi="zh-CN"/>
        </w:rPr>
        <w:t>编制工作，统筹城市功能完善、历史文化保护、人居环境提升、城市建设品质提升等工作，有计划、有步骤地提出城市建设项目清单，强化城市体检成果转化运用，以城市体检推动城市更新行动。</w:t>
      </w:r>
    </w:p>
    <w:p w14:paraId="51D6E530">
      <w:pPr>
        <w:pageBreakBefore w:val="0"/>
        <w:widowControl w:val="0"/>
        <w:kinsoku/>
        <w:wordWrap/>
        <w:overflowPunct/>
        <w:topLinePunct w:val="0"/>
        <w:autoSpaceDE/>
        <w:autoSpaceDN/>
        <w:bidi w:val="0"/>
        <w:adjustRightInd/>
        <w:snapToGrid/>
        <w:spacing w:line="540" w:lineRule="exact"/>
        <w:ind w:firstLine="635" w:firstLineChars="200"/>
        <w:textAlignment w:val="auto"/>
        <w:rPr>
          <w:rFonts w:hint="default" w:ascii="Times New Roman" w:hAnsi="Times New Roman" w:eastAsia="仿宋_GB2312" w:cs="Times New Roman"/>
          <w:iCs/>
          <w:spacing w:val="-2"/>
          <w:sz w:val="32"/>
          <w:szCs w:val="32"/>
          <w:lang w:val="zh-CN" w:bidi="zh-CN"/>
        </w:rPr>
      </w:pPr>
      <w:r>
        <w:rPr>
          <w:rFonts w:hint="default" w:ascii="Times New Roman" w:hAnsi="Times New Roman" w:eastAsia="仿宋_GB2312" w:cs="Times New Roman"/>
          <w:b/>
          <w:iCs/>
          <w:spacing w:val="-2"/>
          <w:sz w:val="32"/>
          <w:szCs w:val="32"/>
          <w:lang w:val="zh-CN" w:bidi="zh-CN"/>
        </w:rPr>
        <w:t>建设一个功能完备、操作性强的城市体检评估管理信息平台。</w:t>
      </w:r>
      <w:r>
        <w:rPr>
          <w:rFonts w:hint="default" w:ascii="Times New Roman" w:hAnsi="Times New Roman" w:eastAsia="仿宋_GB2312" w:cs="Times New Roman"/>
          <w:iCs/>
          <w:spacing w:val="-2"/>
          <w:sz w:val="32"/>
          <w:szCs w:val="32"/>
          <w:lang w:val="zh-CN" w:bidi="zh-CN"/>
        </w:rPr>
        <w:t>以系统性诊断城市发展建设问题为目标，开展城市体检评估管理信息平台建设。各地可通过独立建设或作为模块嵌入城市信息模型（CIM）基础平台等方式开展城市体检评估管理信息平台建设，实现城市体检“数据收集、指标分析、诊断预警、整改跟踪、考评调度”等工作的系统化、集成化、数字化，推动城市体检与城市更新工作的有效衔接。</w:t>
      </w:r>
    </w:p>
    <w:p w14:paraId="468DD506">
      <w:pPr>
        <w:pStyle w:val="4"/>
        <w:pageBreakBefore w:val="0"/>
        <w:widowControl w:val="0"/>
        <w:numPr>
          <w:ilvl w:val="0"/>
          <w:numId w:val="3"/>
        </w:numPr>
        <w:kinsoku/>
        <w:wordWrap/>
        <w:overflowPunct/>
        <w:topLinePunct w:val="0"/>
        <w:autoSpaceDE/>
        <w:autoSpaceDN/>
        <w:bidi w:val="0"/>
        <w:adjustRightInd/>
        <w:snapToGrid/>
        <w:spacing w:before="0" w:after="0" w:line="540" w:lineRule="exact"/>
        <w:jc w:val="both"/>
        <w:textAlignment w:val="auto"/>
        <w:rPr>
          <w:rFonts w:hint="default" w:ascii="Times New Roman" w:hAnsi="Times New Roman" w:eastAsia="仿宋_GB2312" w:cs="Times New Roman"/>
          <w:color w:val="000000"/>
          <w:sz w:val="32"/>
          <w:szCs w:val="32"/>
        </w:rPr>
      </w:pPr>
      <w:bookmarkStart w:id="4" w:name="_Toc189183117"/>
      <w:r>
        <w:rPr>
          <w:rFonts w:hint="default" w:ascii="Times New Roman" w:hAnsi="Times New Roman" w:eastAsia="仿宋_GB2312" w:cs="Times New Roman"/>
          <w:color w:val="000000"/>
          <w:sz w:val="32"/>
          <w:szCs w:val="32"/>
        </w:rPr>
        <w:t>基本要求</w:t>
      </w:r>
      <w:bookmarkEnd w:id="4"/>
    </w:p>
    <w:p w14:paraId="5E981395">
      <w:pPr>
        <w:pStyle w:val="5"/>
        <w:pageBreakBefore w:val="0"/>
        <w:widowControl w:val="0"/>
        <w:numPr>
          <w:ilvl w:val="0"/>
          <w:numId w:val="5"/>
        </w:numPr>
        <w:kinsoku/>
        <w:wordWrap/>
        <w:overflowPunct/>
        <w:topLinePunct w:val="0"/>
        <w:autoSpaceDE/>
        <w:autoSpaceDN/>
        <w:bidi w:val="0"/>
        <w:adjustRightInd/>
        <w:snapToGrid/>
        <w:spacing w:before="0" w:beforeLines="0" w:after="0" w:afterLines="0" w:line="540" w:lineRule="exact"/>
        <w:ind w:firstLineChars="0"/>
        <w:textAlignment w:val="auto"/>
        <w:rPr>
          <w:rFonts w:hint="default" w:ascii="Times New Roman" w:hAnsi="Times New Roman" w:eastAsia="仿宋_GB2312" w:cs="Times New Roman"/>
          <w:color w:val="000000"/>
          <w:sz w:val="32"/>
          <w:szCs w:val="32"/>
        </w:rPr>
      </w:pPr>
      <w:bookmarkStart w:id="5" w:name="_Toc2124530510"/>
      <w:r>
        <w:rPr>
          <w:rFonts w:hint="default" w:ascii="Times New Roman" w:hAnsi="Times New Roman" w:eastAsia="仿宋_GB2312" w:cs="Times New Roman"/>
          <w:color w:val="000000"/>
          <w:sz w:val="32"/>
          <w:szCs w:val="32"/>
        </w:rPr>
        <w:t>工作原则</w:t>
      </w:r>
      <w:bookmarkEnd w:id="5"/>
    </w:p>
    <w:p w14:paraId="396DB762">
      <w:pPr>
        <w:pageBreakBefore w:val="0"/>
        <w:widowControl w:val="0"/>
        <w:kinsoku/>
        <w:wordWrap/>
        <w:overflowPunct/>
        <w:topLinePunct w:val="0"/>
        <w:autoSpaceDE/>
        <w:autoSpaceDN/>
        <w:bidi w:val="0"/>
        <w:adjustRightInd/>
        <w:snapToGrid/>
        <w:spacing w:line="540" w:lineRule="exact"/>
        <w:ind w:firstLine="635" w:firstLineChars="200"/>
        <w:textAlignment w:val="auto"/>
        <w:rPr>
          <w:rFonts w:hint="default" w:ascii="Times New Roman" w:hAnsi="Times New Roman" w:eastAsia="仿宋_GB2312" w:cs="Times New Roman"/>
          <w:b/>
          <w:iCs/>
          <w:color w:val="000000"/>
          <w:spacing w:val="-2"/>
          <w:sz w:val="32"/>
          <w:szCs w:val="32"/>
          <w:lang w:val="zh-CN" w:bidi="zh-CN"/>
        </w:rPr>
      </w:pPr>
      <w:r>
        <w:rPr>
          <w:rFonts w:hint="default" w:ascii="Times New Roman" w:hAnsi="Times New Roman" w:eastAsia="仿宋_GB2312" w:cs="Times New Roman"/>
          <w:b/>
          <w:iCs/>
          <w:color w:val="000000"/>
          <w:spacing w:val="-2"/>
          <w:sz w:val="32"/>
          <w:szCs w:val="32"/>
          <w:lang w:val="zh-CN" w:bidi="zh-CN"/>
        </w:rPr>
        <w:t>1</w:t>
      </w:r>
      <w:r>
        <w:rPr>
          <w:rFonts w:hint="default" w:ascii="Times New Roman" w:hAnsi="Times New Roman" w:eastAsia="仿宋_GB2312" w:cs="Times New Roman"/>
          <w:b/>
          <w:iCs/>
          <w:color w:val="000000"/>
          <w:spacing w:val="-2"/>
          <w:sz w:val="32"/>
          <w:szCs w:val="32"/>
          <w:lang w:val="en-US" w:bidi="zh-CN"/>
        </w:rPr>
        <w:t xml:space="preserve"> </w:t>
      </w:r>
      <w:r>
        <w:rPr>
          <w:rFonts w:hint="default" w:ascii="Times New Roman" w:hAnsi="Times New Roman" w:eastAsia="仿宋_GB2312" w:cs="Times New Roman"/>
          <w:b/>
          <w:iCs/>
          <w:color w:val="000000"/>
          <w:spacing w:val="-2"/>
          <w:sz w:val="32"/>
          <w:szCs w:val="32"/>
          <w:lang w:val="zh-CN" w:bidi="zh-CN"/>
        </w:rPr>
        <w:t>目标导向、问题导向</w:t>
      </w:r>
    </w:p>
    <w:p w14:paraId="050CC42B">
      <w:pPr>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iCs/>
          <w:color w:val="000000"/>
          <w:spacing w:val="-2"/>
          <w:sz w:val="32"/>
          <w:szCs w:val="32"/>
          <w:lang w:val="zh-CN" w:bidi="zh-CN"/>
        </w:rPr>
      </w:pPr>
      <w:r>
        <w:rPr>
          <w:rFonts w:hint="default" w:ascii="Times New Roman" w:hAnsi="Times New Roman" w:eastAsia="仿宋_GB2312" w:cs="Times New Roman"/>
          <w:iCs/>
          <w:color w:val="000000"/>
          <w:spacing w:val="-2"/>
          <w:sz w:val="32"/>
          <w:szCs w:val="32"/>
          <w:lang w:val="zh-CN" w:bidi="zh-CN"/>
        </w:rPr>
        <w:t>城市体检评估工作，一是要落实城市高质量发展要求。充分体现创新、协调、绿色、开放、共享的发展理念，构建城市指标体系。二是要坚持总体</w:t>
      </w:r>
      <w:r>
        <w:rPr>
          <w:rFonts w:hint="eastAsia" w:ascii="Times New Roman" w:hAnsi="Times New Roman" w:eastAsia="仿宋_GB2312" w:cs="Times New Roman"/>
          <w:iCs/>
          <w:color w:val="000000"/>
          <w:spacing w:val="-2"/>
          <w:sz w:val="32"/>
          <w:szCs w:val="32"/>
          <w:lang w:val="en-US" w:bidi="zh-CN"/>
        </w:rPr>
        <w:t>国家</w:t>
      </w:r>
      <w:bookmarkStart w:id="30" w:name="_GoBack"/>
      <w:bookmarkEnd w:id="30"/>
      <w:r>
        <w:rPr>
          <w:rFonts w:hint="default" w:ascii="Times New Roman" w:hAnsi="Times New Roman" w:eastAsia="仿宋_GB2312" w:cs="Times New Roman"/>
          <w:iCs/>
          <w:color w:val="000000"/>
          <w:spacing w:val="-2"/>
          <w:sz w:val="32"/>
          <w:szCs w:val="32"/>
          <w:lang w:val="zh-CN" w:bidi="zh-CN"/>
        </w:rPr>
        <w:t>安全观。特别要坚守生态安全、水务安全、设施安全等底线要求。三是要贯彻以人民为中心。从</w:t>
      </w:r>
      <w:r>
        <w:rPr>
          <w:rFonts w:hint="default" w:ascii="Times New Roman" w:hAnsi="Times New Roman" w:eastAsia="仿宋_GB2312" w:cs="Times New Roman"/>
          <w:iCs/>
          <w:color w:val="000000"/>
          <w:spacing w:val="-2"/>
          <w:sz w:val="32"/>
          <w:szCs w:val="32"/>
          <w:lang w:bidi="zh-CN"/>
        </w:rPr>
        <w:t>人民需求</w:t>
      </w:r>
      <w:r>
        <w:rPr>
          <w:rFonts w:hint="default" w:ascii="Times New Roman" w:hAnsi="Times New Roman" w:eastAsia="仿宋_GB2312" w:cs="Times New Roman"/>
          <w:iCs/>
          <w:color w:val="000000"/>
          <w:spacing w:val="-2"/>
          <w:sz w:val="32"/>
          <w:szCs w:val="32"/>
          <w:lang w:val="zh-CN" w:bidi="zh-CN"/>
        </w:rPr>
        <w:t>和全面发展出发，统筹安排生产、生活、生态空间，将宜居、宜业、宜养、宜游等内容和指标作为监测和评价的重点。同时，</w:t>
      </w:r>
      <w:r>
        <w:rPr>
          <w:rFonts w:hint="default" w:ascii="Times New Roman" w:hAnsi="Times New Roman" w:eastAsia="仿宋_GB2312" w:cs="Times New Roman"/>
          <w:iCs/>
          <w:color w:val="000000"/>
          <w:spacing w:val="-2"/>
          <w:sz w:val="32"/>
          <w:szCs w:val="32"/>
          <w:lang w:bidi="zh-CN"/>
        </w:rPr>
        <w:t>城市</w:t>
      </w:r>
      <w:r>
        <w:rPr>
          <w:rFonts w:hint="default" w:ascii="Times New Roman" w:hAnsi="Times New Roman" w:eastAsia="仿宋_GB2312" w:cs="Times New Roman"/>
          <w:iCs/>
          <w:color w:val="000000"/>
          <w:spacing w:val="-2"/>
          <w:sz w:val="32"/>
          <w:szCs w:val="32"/>
          <w:lang w:val="zh-CN" w:bidi="zh-CN"/>
        </w:rPr>
        <w:t>体检评估要全面</w:t>
      </w:r>
      <w:r>
        <w:rPr>
          <w:rFonts w:hint="default" w:ascii="Times New Roman" w:hAnsi="Times New Roman" w:eastAsia="仿宋_GB2312" w:cs="Times New Roman"/>
          <w:iCs/>
          <w:color w:val="000000"/>
          <w:spacing w:val="-2"/>
          <w:sz w:val="32"/>
          <w:szCs w:val="32"/>
          <w:lang w:bidi="zh-CN"/>
        </w:rPr>
        <w:t>客</w:t>
      </w:r>
      <w:r>
        <w:rPr>
          <w:rFonts w:hint="default" w:ascii="Times New Roman" w:hAnsi="Times New Roman" w:eastAsia="仿宋_GB2312" w:cs="Times New Roman"/>
          <w:iCs/>
          <w:color w:val="000000"/>
          <w:spacing w:val="-2"/>
          <w:sz w:val="32"/>
          <w:szCs w:val="32"/>
          <w:lang w:val="zh-CN" w:bidi="zh-CN"/>
        </w:rPr>
        <w:t>观分析城市发展取得的成效，更要着力发现城市规划、建设、治理过程中存在的生态保护、民生保障、设施运行、居住品质等方面的突出问题和短板，找出群众反映强烈的难点、堵点、痛点问题，从规模、结构、布局、效率等多角度充分挖掘、查找问题背后的深层次原因，提出针对性解决对策和项目清单，为下一阶段的城市更新规划和行动提供支撑。</w:t>
      </w:r>
    </w:p>
    <w:p w14:paraId="312E091D">
      <w:pPr>
        <w:pageBreakBefore w:val="0"/>
        <w:widowControl w:val="0"/>
        <w:kinsoku/>
        <w:wordWrap/>
        <w:overflowPunct/>
        <w:topLinePunct w:val="0"/>
        <w:autoSpaceDE/>
        <w:autoSpaceDN/>
        <w:bidi w:val="0"/>
        <w:adjustRightInd/>
        <w:snapToGrid/>
        <w:spacing w:line="540" w:lineRule="exact"/>
        <w:ind w:firstLine="635" w:firstLineChars="200"/>
        <w:textAlignment w:val="auto"/>
        <w:rPr>
          <w:rFonts w:hint="default" w:ascii="Times New Roman" w:hAnsi="Times New Roman" w:eastAsia="仿宋_GB2312" w:cs="Times New Roman"/>
          <w:b/>
          <w:iCs/>
          <w:color w:val="000000"/>
          <w:spacing w:val="-2"/>
          <w:sz w:val="32"/>
          <w:szCs w:val="32"/>
          <w:lang w:val="zh-CN" w:bidi="zh-CN"/>
        </w:rPr>
      </w:pPr>
      <w:r>
        <w:rPr>
          <w:rFonts w:hint="default" w:ascii="Times New Roman" w:hAnsi="Times New Roman" w:eastAsia="仿宋_GB2312" w:cs="Times New Roman"/>
          <w:b/>
          <w:iCs/>
          <w:color w:val="000000"/>
          <w:spacing w:val="-2"/>
          <w:sz w:val="32"/>
          <w:szCs w:val="32"/>
          <w:lang w:val="zh-CN" w:bidi="zh-CN"/>
        </w:rPr>
        <w:t>2</w:t>
      </w:r>
      <w:r>
        <w:rPr>
          <w:rFonts w:hint="default" w:ascii="Times New Roman" w:hAnsi="Times New Roman" w:eastAsia="仿宋_GB2312" w:cs="Times New Roman"/>
          <w:b/>
          <w:iCs/>
          <w:color w:val="000000"/>
          <w:spacing w:val="-2"/>
          <w:sz w:val="32"/>
          <w:szCs w:val="32"/>
          <w:lang w:val="en-US" w:bidi="zh-CN"/>
        </w:rPr>
        <w:t xml:space="preserve"> </w:t>
      </w:r>
      <w:r>
        <w:rPr>
          <w:rFonts w:hint="default" w:ascii="Times New Roman" w:hAnsi="Times New Roman" w:eastAsia="仿宋_GB2312" w:cs="Times New Roman"/>
          <w:b/>
          <w:iCs/>
          <w:color w:val="000000"/>
          <w:spacing w:val="-2"/>
          <w:sz w:val="32"/>
          <w:szCs w:val="32"/>
          <w:lang w:val="zh-CN" w:bidi="zh-CN"/>
        </w:rPr>
        <w:t>整体统筹、系统推进</w:t>
      </w:r>
    </w:p>
    <w:p w14:paraId="536C4BAA">
      <w:pPr>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iCs/>
          <w:color w:val="000000"/>
          <w:spacing w:val="-2"/>
          <w:sz w:val="32"/>
          <w:szCs w:val="32"/>
          <w:lang w:val="zh-CN" w:bidi="zh-CN"/>
        </w:rPr>
      </w:pPr>
      <w:r>
        <w:rPr>
          <w:rFonts w:hint="default" w:ascii="Times New Roman" w:hAnsi="Times New Roman" w:eastAsia="仿宋_GB2312" w:cs="Times New Roman"/>
          <w:iCs/>
          <w:color w:val="000000"/>
          <w:spacing w:val="-2"/>
          <w:sz w:val="32"/>
          <w:szCs w:val="32"/>
          <w:lang w:val="zh-CN" w:bidi="zh-CN"/>
        </w:rPr>
        <w:t>站位全局，加强城市发展的整体性把握，强化整体系统策划部署，把城市体检作为实施城市更新行动、统筹城市规划建设治理、推动城市人居环境高质量发展的重要抓手。基于城市体检工作的渐进性、系统性、长效性，评价城市发展建设状况、查找城市问题。将城市体检成果作为研究制定对策建议、优化城市发展目标、补齐城市建设短板、解决城市问题的重要依据，确保城市体检成果落地见效。</w:t>
      </w:r>
    </w:p>
    <w:p w14:paraId="71A21176">
      <w:pPr>
        <w:pageBreakBefore w:val="0"/>
        <w:widowControl w:val="0"/>
        <w:kinsoku/>
        <w:wordWrap/>
        <w:overflowPunct/>
        <w:topLinePunct w:val="0"/>
        <w:autoSpaceDE/>
        <w:autoSpaceDN/>
        <w:bidi w:val="0"/>
        <w:adjustRightInd/>
        <w:snapToGrid/>
        <w:spacing w:line="540" w:lineRule="exact"/>
        <w:ind w:firstLine="635" w:firstLineChars="200"/>
        <w:textAlignment w:val="auto"/>
        <w:rPr>
          <w:rFonts w:hint="default" w:ascii="Times New Roman" w:hAnsi="Times New Roman" w:eastAsia="仿宋_GB2312" w:cs="Times New Roman"/>
          <w:b/>
          <w:iCs/>
          <w:color w:val="000000"/>
          <w:spacing w:val="-2"/>
          <w:sz w:val="32"/>
          <w:szCs w:val="32"/>
          <w:lang w:val="zh-CN" w:bidi="zh-CN"/>
        </w:rPr>
      </w:pPr>
      <w:r>
        <w:rPr>
          <w:rFonts w:hint="default" w:ascii="Times New Roman" w:hAnsi="Times New Roman" w:eastAsia="仿宋_GB2312" w:cs="Times New Roman"/>
          <w:b/>
          <w:iCs/>
          <w:color w:val="000000"/>
          <w:spacing w:val="-2"/>
          <w:sz w:val="32"/>
          <w:szCs w:val="32"/>
          <w:lang w:val="zh-CN" w:bidi="zh-CN"/>
        </w:rPr>
        <w:t>3</w:t>
      </w:r>
      <w:r>
        <w:rPr>
          <w:rFonts w:hint="default" w:ascii="Times New Roman" w:hAnsi="Times New Roman" w:eastAsia="仿宋_GB2312" w:cs="Times New Roman"/>
          <w:b/>
          <w:iCs/>
          <w:color w:val="000000"/>
          <w:spacing w:val="-2"/>
          <w:sz w:val="32"/>
          <w:szCs w:val="32"/>
          <w:lang w:val="en-US" w:bidi="zh-CN"/>
        </w:rPr>
        <w:t xml:space="preserve"> </w:t>
      </w:r>
      <w:r>
        <w:rPr>
          <w:rFonts w:hint="default" w:ascii="Times New Roman" w:hAnsi="Times New Roman" w:eastAsia="仿宋_GB2312" w:cs="Times New Roman"/>
          <w:b/>
          <w:iCs/>
          <w:color w:val="000000"/>
          <w:spacing w:val="-2"/>
          <w:sz w:val="32"/>
          <w:szCs w:val="32"/>
          <w:lang w:val="zh-CN" w:bidi="zh-CN"/>
        </w:rPr>
        <w:t>因地制宜、差异引导</w:t>
      </w:r>
    </w:p>
    <w:p w14:paraId="2B3EADF3">
      <w:pPr>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iCs/>
          <w:color w:val="000000"/>
          <w:spacing w:val="-2"/>
          <w:sz w:val="32"/>
          <w:szCs w:val="32"/>
          <w:lang w:val="zh-CN" w:bidi="zh-CN"/>
        </w:rPr>
      </w:pPr>
      <w:r>
        <w:rPr>
          <w:rFonts w:hint="default" w:ascii="Times New Roman" w:hAnsi="Times New Roman" w:eastAsia="仿宋_GB2312" w:cs="Times New Roman"/>
          <w:iCs/>
          <w:color w:val="000000"/>
          <w:spacing w:val="-2"/>
          <w:sz w:val="32"/>
          <w:szCs w:val="32"/>
          <w:lang w:val="zh-CN" w:bidi="zh-CN"/>
        </w:rPr>
        <w:t>立足沿海、山区地域特色，强化特色引领，深入开展城市体检工作。城市体检评估要构建科学有效、便于操作、符合当地实际的评估指标体系。采用多源数据和可靠分析方法，确保城市体检过程科学严谨，结论客观可信。充分发挥数字化改革成果优势，鼓励利用大数据、物联网等技术手段，提高对城市发展短板</w:t>
      </w:r>
      <w:r>
        <w:rPr>
          <w:rFonts w:hint="default" w:ascii="Times New Roman" w:hAnsi="Times New Roman" w:eastAsia="仿宋_GB2312" w:cs="Times New Roman"/>
          <w:iCs/>
          <w:color w:val="000000"/>
          <w:spacing w:val="-2"/>
          <w:sz w:val="32"/>
          <w:szCs w:val="32"/>
          <w:lang w:bidi="zh-CN"/>
        </w:rPr>
        <w:t>问题</w:t>
      </w:r>
      <w:r>
        <w:rPr>
          <w:rFonts w:hint="default" w:ascii="Times New Roman" w:hAnsi="Times New Roman" w:eastAsia="仿宋_GB2312" w:cs="Times New Roman"/>
          <w:iCs/>
          <w:color w:val="000000"/>
          <w:spacing w:val="-2"/>
          <w:sz w:val="32"/>
          <w:szCs w:val="32"/>
          <w:lang w:val="zh-CN" w:bidi="zh-CN"/>
        </w:rPr>
        <w:t>的动态精准识别能力，着力构建智慧、高效、精准的城市体检评估体系。</w:t>
      </w:r>
    </w:p>
    <w:p w14:paraId="394EF9DC">
      <w:pPr>
        <w:pageBreakBefore w:val="0"/>
        <w:widowControl w:val="0"/>
        <w:kinsoku/>
        <w:wordWrap/>
        <w:overflowPunct/>
        <w:topLinePunct w:val="0"/>
        <w:autoSpaceDE/>
        <w:autoSpaceDN/>
        <w:bidi w:val="0"/>
        <w:adjustRightInd/>
        <w:snapToGrid/>
        <w:spacing w:line="540" w:lineRule="exact"/>
        <w:ind w:firstLine="635" w:firstLineChars="200"/>
        <w:textAlignment w:val="auto"/>
        <w:rPr>
          <w:rFonts w:hint="default" w:ascii="Times New Roman" w:hAnsi="Times New Roman" w:eastAsia="仿宋_GB2312" w:cs="Times New Roman"/>
          <w:b/>
          <w:iCs/>
          <w:color w:val="000000"/>
          <w:spacing w:val="-2"/>
          <w:sz w:val="32"/>
          <w:szCs w:val="32"/>
          <w:lang w:val="zh-CN" w:bidi="zh-CN"/>
        </w:rPr>
      </w:pPr>
      <w:r>
        <w:rPr>
          <w:rFonts w:hint="default" w:ascii="Times New Roman" w:hAnsi="Times New Roman" w:eastAsia="仿宋_GB2312" w:cs="Times New Roman"/>
          <w:b/>
          <w:iCs/>
          <w:color w:val="000000"/>
          <w:spacing w:val="-2"/>
          <w:sz w:val="32"/>
          <w:szCs w:val="32"/>
          <w:lang w:val="zh-CN" w:bidi="zh-CN"/>
        </w:rPr>
        <w:t>4</w:t>
      </w:r>
      <w:r>
        <w:rPr>
          <w:rFonts w:hint="default" w:ascii="Times New Roman" w:hAnsi="Times New Roman" w:eastAsia="仿宋_GB2312" w:cs="Times New Roman"/>
          <w:b/>
          <w:iCs/>
          <w:color w:val="000000"/>
          <w:spacing w:val="-2"/>
          <w:sz w:val="32"/>
          <w:szCs w:val="32"/>
          <w:lang w:val="en-US" w:bidi="zh-CN"/>
        </w:rPr>
        <w:t xml:space="preserve"> </w:t>
      </w:r>
      <w:r>
        <w:rPr>
          <w:rFonts w:hint="default" w:ascii="Times New Roman" w:hAnsi="Times New Roman" w:eastAsia="仿宋_GB2312" w:cs="Times New Roman"/>
          <w:b/>
          <w:iCs/>
          <w:color w:val="000000"/>
          <w:spacing w:val="-2"/>
          <w:sz w:val="32"/>
          <w:szCs w:val="32"/>
          <w:lang w:val="zh-CN" w:bidi="zh-CN"/>
        </w:rPr>
        <w:t>明确分工、适用管用</w:t>
      </w:r>
    </w:p>
    <w:p w14:paraId="1E375EF8">
      <w:pPr>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iCs/>
          <w:color w:val="000000"/>
          <w:spacing w:val="-2"/>
          <w:sz w:val="32"/>
          <w:szCs w:val="32"/>
          <w:lang w:val="zh-CN" w:bidi="zh-CN"/>
        </w:rPr>
      </w:pPr>
      <w:r>
        <w:rPr>
          <w:rFonts w:hint="default" w:ascii="Times New Roman" w:hAnsi="Times New Roman" w:eastAsia="仿宋_GB2312" w:cs="Times New Roman"/>
          <w:iCs/>
          <w:color w:val="000000"/>
          <w:spacing w:val="-2"/>
          <w:sz w:val="32"/>
          <w:szCs w:val="32"/>
          <w:lang w:val="zh-CN" w:bidi="zh-CN"/>
        </w:rPr>
        <w:t>城市体检工作应明确工作内容，明确责任分工，强化定期评估和正向反馈的过程管理，形成体检评估、问题诊断、行动方案、实施反馈的实施机制。以体检评估成果反映问题短板和研判需求，作为实施城市更新、民生补短板行动、城市建设品质提升等的重要依据，也可以为进一步建设新时期的现代城市提供参考，确保城市体检评估结果适用管用。</w:t>
      </w:r>
    </w:p>
    <w:p w14:paraId="7006C8C2">
      <w:pPr>
        <w:pStyle w:val="5"/>
        <w:pageBreakBefore w:val="0"/>
        <w:widowControl w:val="0"/>
        <w:numPr>
          <w:ilvl w:val="0"/>
          <w:numId w:val="5"/>
        </w:numPr>
        <w:kinsoku/>
        <w:wordWrap/>
        <w:overflowPunct/>
        <w:topLinePunct w:val="0"/>
        <w:autoSpaceDE/>
        <w:autoSpaceDN/>
        <w:bidi w:val="0"/>
        <w:adjustRightInd/>
        <w:snapToGrid/>
        <w:spacing w:before="0" w:beforeLines="0" w:after="0" w:afterLines="0" w:line="540" w:lineRule="exact"/>
        <w:ind w:firstLineChars="0"/>
        <w:textAlignment w:val="auto"/>
        <w:rPr>
          <w:rFonts w:hint="default" w:ascii="Times New Roman" w:hAnsi="Times New Roman" w:eastAsia="仿宋_GB2312" w:cs="Times New Roman"/>
          <w:color w:val="000000"/>
          <w:sz w:val="32"/>
          <w:szCs w:val="32"/>
        </w:rPr>
      </w:pPr>
      <w:bookmarkStart w:id="6" w:name="_Toc694554033"/>
      <w:r>
        <w:rPr>
          <w:rFonts w:hint="default" w:ascii="Times New Roman" w:hAnsi="Times New Roman" w:eastAsia="仿宋_GB2312" w:cs="Times New Roman"/>
          <w:color w:val="000000"/>
          <w:sz w:val="32"/>
          <w:szCs w:val="32"/>
        </w:rPr>
        <w:t>工作组织</w:t>
      </w:r>
      <w:bookmarkEnd w:id="6"/>
    </w:p>
    <w:p w14:paraId="1ED2063C">
      <w:pPr>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iCs/>
          <w:spacing w:val="-2"/>
          <w:sz w:val="32"/>
          <w:szCs w:val="32"/>
          <w:lang w:val="zh-CN" w:bidi="zh-CN"/>
        </w:rPr>
      </w:pPr>
      <w:r>
        <w:rPr>
          <w:rFonts w:hint="default" w:ascii="Times New Roman" w:hAnsi="Times New Roman" w:eastAsia="仿宋_GB2312" w:cs="Times New Roman"/>
          <w:iCs/>
          <w:spacing w:val="-2"/>
          <w:sz w:val="32"/>
          <w:szCs w:val="32"/>
          <w:lang w:val="zh-CN" w:bidi="zh-CN"/>
        </w:rPr>
        <w:t>坚持政府组织、部门协同、专家咨询、公众参与的原则。各地由政府领导及相关部门组成城市体检工作领导小组，按照住建部和我省城市体检工作部署要求，建立相应的城市体检工作机制和工作程序，并逐步建立完善的城市体检监督检查机制，推进城市体检工作常态化运行；住建部与省住建厅组织开展</w:t>
      </w:r>
      <w:r>
        <w:rPr>
          <w:rFonts w:hint="default" w:ascii="Times New Roman" w:hAnsi="Times New Roman" w:eastAsia="仿宋_GB2312" w:cs="Times New Roman"/>
          <w:iCs/>
          <w:spacing w:val="-2"/>
          <w:sz w:val="32"/>
          <w:szCs w:val="32"/>
          <w:lang w:bidi="zh-CN"/>
        </w:rPr>
        <w:t>国家和省级样本</w:t>
      </w:r>
      <w:r>
        <w:rPr>
          <w:rFonts w:hint="default" w:ascii="Times New Roman" w:hAnsi="Times New Roman" w:eastAsia="仿宋_GB2312" w:cs="Times New Roman"/>
          <w:iCs/>
          <w:spacing w:val="-2"/>
          <w:sz w:val="32"/>
          <w:szCs w:val="32"/>
          <w:lang w:val="zh-CN" w:bidi="zh-CN"/>
        </w:rPr>
        <w:t>城市第三方体检工作，并对各</w:t>
      </w:r>
      <w:r>
        <w:rPr>
          <w:rFonts w:hint="eastAsia" w:ascii="Times New Roman" w:hAnsi="Times New Roman" w:eastAsia="仿宋_GB2312" w:cs="Times New Roman"/>
          <w:iCs/>
          <w:spacing w:val="-2"/>
          <w:sz w:val="32"/>
          <w:szCs w:val="32"/>
          <w:lang w:val="zh-CN" w:bidi="zh-CN"/>
        </w:rPr>
        <w:t>设区</w:t>
      </w:r>
      <w:r>
        <w:rPr>
          <w:rFonts w:hint="default" w:ascii="Times New Roman" w:hAnsi="Times New Roman" w:eastAsia="仿宋_GB2312" w:cs="Times New Roman"/>
          <w:iCs/>
          <w:spacing w:val="-2"/>
          <w:sz w:val="32"/>
          <w:szCs w:val="32"/>
          <w:lang w:val="zh-CN" w:bidi="zh-CN"/>
        </w:rPr>
        <w:t>市城市体检评估工作开展指导巡查。</w:t>
      </w:r>
    </w:p>
    <w:p w14:paraId="55C802A6">
      <w:pPr>
        <w:pStyle w:val="5"/>
        <w:pageBreakBefore w:val="0"/>
        <w:widowControl w:val="0"/>
        <w:numPr>
          <w:ilvl w:val="0"/>
          <w:numId w:val="5"/>
        </w:numPr>
        <w:kinsoku/>
        <w:wordWrap/>
        <w:overflowPunct/>
        <w:topLinePunct w:val="0"/>
        <w:autoSpaceDE/>
        <w:autoSpaceDN/>
        <w:bidi w:val="0"/>
        <w:adjustRightInd/>
        <w:snapToGrid/>
        <w:spacing w:before="0" w:beforeLines="0" w:after="0" w:afterLines="0" w:line="540" w:lineRule="exact"/>
        <w:ind w:firstLineChars="0"/>
        <w:textAlignment w:val="auto"/>
        <w:rPr>
          <w:rFonts w:hint="default" w:ascii="Times New Roman" w:hAnsi="Times New Roman" w:eastAsia="仿宋_GB2312" w:cs="Times New Roman"/>
          <w:color w:val="000000"/>
          <w:sz w:val="32"/>
          <w:szCs w:val="32"/>
        </w:rPr>
      </w:pPr>
      <w:bookmarkStart w:id="7" w:name="_Toc1366278413"/>
      <w:r>
        <w:rPr>
          <w:rFonts w:hint="default" w:ascii="Times New Roman" w:hAnsi="Times New Roman" w:eastAsia="仿宋_GB2312" w:cs="Times New Roman"/>
          <w:color w:val="000000"/>
          <w:sz w:val="32"/>
          <w:szCs w:val="32"/>
        </w:rPr>
        <w:t>工作流程</w:t>
      </w:r>
      <w:bookmarkEnd w:id="7"/>
    </w:p>
    <w:p w14:paraId="7B3D0083">
      <w:pPr>
        <w:pageBreakBefore w:val="0"/>
        <w:widowControl w:val="0"/>
        <w:kinsoku/>
        <w:wordWrap/>
        <w:overflowPunct/>
        <w:topLinePunct w:val="0"/>
        <w:autoSpaceDE/>
        <w:autoSpaceDN/>
        <w:bidi w:val="0"/>
        <w:adjustRightInd/>
        <w:snapToGrid/>
        <w:spacing w:line="540" w:lineRule="exact"/>
        <w:ind w:firstLine="635" w:firstLineChars="200"/>
        <w:textAlignment w:val="auto"/>
        <w:rPr>
          <w:rFonts w:hint="default" w:ascii="Times New Roman" w:hAnsi="Times New Roman" w:eastAsia="仿宋_GB2312" w:cs="Times New Roman"/>
          <w:iCs/>
          <w:color w:val="000000"/>
          <w:spacing w:val="-2"/>
          <w:sz w:val="32"/>
          <w:szCs w:val="32"/>
          <w:lang w:val="zh-CN" w:bidi="zh-CN"/>
        </w:rPr>
      </w:pPr>
      <w:r>
        <w:rPr>
          <w:rFonts w:hint="default" w:ascii="Times New Roman" w:hAnsi="Times New Roman" w:eastAsia="仿宋_GB2312" w:cs="Times New Roman"/>
          <w:b/>
          <w:iCs/>
          <w:color w:val="000000"/>
          <w:spacing w:val="-2"/>
          <w:sz w:val="32"/>
          <w:szCs w:val="32"/>
          <w:lang w:val="zh-CN" w:bidi="zh-CN"/>
        </w:rPr>
        <w:t>制定城市体检工作方案。</w:t>
      </w:r>
      <w:r>
        <w:rPr>
          <w:rFonts w:hint="default" w:ascii="Times New Roman" w:hAnsi="Times New Roman" w:eastAsia="仿宋_GB2312" w:cs="Times New Roman"/>
          <w:bCs/>
          <w:iCs/>
          <w:color w:val="000000"/>
          <w:spacing w:val="-2"/>
          <w:sz w:val="32"/>
          <w:szCs w:val="32"/>
          <w:lang w:val="zh-CN" w:bidi="zh-CN"/>
        </w:rPr>
        <w:t>市级</w:t>
      </w:r>
      <w:r>
        <w:rPr>
          <w:rFonts w:hint="default" w:ascii="Times New Roman" w:hAnsi="Times New Roman" w:eastAsia="仿宋_GB2312" w:cs="Times New Roman"/>
          <w:iCs/>
          <w:color w:val="000000"/>
          <w:spacing w:val="-2"/>
          <w:sz w:val="32"/>
          <w:szCs w:val="32"/>
          <w:lang w:val="zh-CN" w:bidi="zh-CN"/>
        </w:rPr>
        <w:t>城市体检工作领导小组结合</w:t>
      </w:r>
      <w:r>
        <w:rPr>
          <w:rFonts w:hint="default" w:ascii="Times New Roman" w:hAnsi="Times New Roman" w:eastAsia="仿宋_GB2312" w:cs="Times New Roman"/>
          <w:iCs/>
          <w:spacing w:val="-2"/>
          <w:sz w:val="32"/>
          <w:szCs w:val="32"/>
          <w:lang w:val="zh-CN" w:bidi="zh-CN"/>
        </w:rPr>
        <w:t>住建部及省住建厅</w:t>
      </w:r>
      <w:r>
        <w:rPr>
          <w:rFonts w:hint="default" w:ascii="Times New Roman" w:hAnsi="Times New Roman" w:eastAsia="仿宋_GB2312" w:cs="Times New Roman"/>
          <w:iCs/>
          <w:color w:val="000000"/>
          <w:spacing w:val="-2"/>
          <w:sz w:val="32"/>
          <w:szCs w:val="32"/>
          <w:lang w:val="zh-CN" w:bidi="zh-CN"/>
        </w:rPr>
        <w:t>年度城市体检工作部署要求，围绕城市建设的突出短板、矛盾问题和新阶段的发展要求，制定本年度城市体检工作</w:t>
      </w:r>
      <w:r>
        <w:rPr>
          <w:rFonts w:hint="default" w:ascii="Times New Roman" w:hAnsi="Times New Roman" w:eastAsia="仿宋_GB2312" w:cs="Times New Roman"/>
          <w:iCs/>
          <w:color w:val="000000"/>
          <w:spacing w:val="-2"/>
          <w:sz w:val="32"/>
          <w:szCs w:val="32"/>
          <w:lang w:bidi="zh-CN"/>
        </w:rPr>
        <w:t>方案</w:t>
      </w:r>
      <w:r>
        <w:rPr>
          <w:rFonts w:hint="default" w:ascii="Times New Roman" w:hAnsi="Times New Roman" w:eastAsia="仿宋_GB2312" w:cs="Times New Roman"/>
          <w:iCs/>
          <w:color w:val="000000"/>
          <w:spacing w:val="-2"/>
          <w:sz w:val="32"/>
          <w:szCs w:val="32"/>
          <w:lang w:val="zh-CN" w:bidi="zh-CN"/>
        </w:rPr>
        <w:t>，明确总体要求、主要任务、进度计划、责任分工、组织保障等内容，有序指导体检评估工作开展，其中：</w:t>
      </w:r>
    </w:p>
    <w:p w14:paraId="6F7314C0">
      <w:pPr>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b w:val="0"/>
          <w:bCs w:val="0"/>
          <w:iCs/>
          <w:color w:val="000000"/>
          <w:spacing w:val="-2"/>
          <w:sz w:val="32"/>
          <w:szCs w:val="32"/>
          <w:lang w:val="zh-CN" w:bidi="zh-CN"/>
        </w:rPr>
      </w:pPr>
      <w:r>
        <w:rPr>
          <w:rFonts w:hint="default" w:ascii="Times New Roman" w:hAnsi="Times New Roman" w:eastAsia="仿宋_GB2312" w:cs="Times New Roman"/>
          <w:b w:val="0"/>
          <w:bCs w:val="0"/>
          <w:iCs/>
          <w:color w:val="000000"/>
          <w:spacing w:val="-2"/>
          <w:sz w:val="32"/>
          <w:szCs w:val="32"/>
          <w:lang w:val="zh-CN" w:bidi="zh-CN"/>
        </w:rPr>
        <w:t>1</w:t>
      </w:r>
      <w:r>
        <w:rPr>
          <w:rFonts w:hint="default" w:ascii="Times New Roman" w:hAnsi="Times New Roman" w:eastAsia="仿宋_GB2312" w:cs="Times New Roman"/>
          <w:b w:val="0"/>
          <w:bCs w:val="0"/>
          <w:iCs/>
          <w:color w:val="000000"/>
          <w:spacing w:val="-2"/>
          <w:sz w:val="32"/>
          <w:szCs w:val="32"/>
          <w:lang w:val="en-US" w:bidi="zh-CN"/>
        </w:rPr>
        <w:t xml:space="preserve"> </w:t>
      </w:r>
      <w:r>
        <w:rPr>
          <w:rFonts w:hint="default" w:ascii="Times New Roman" w:hAnsi="Times New Roman" w:eastAsia="仿宋_GB2312" w:cs="Times New Roman"/>
          <w:b w:val="0"/>
          <w:bCs w:val="0"/>
          <w:iCs/>
          <w:color w:val="000000"/>
          <w:spacing w:val="-2"/>
          <w:sz w:val="32"/>
          <w:szCs w:val="32"/>
          <w:lang w:val="zh-CN" w:bidi="zh-CN"/>
        </w:rPr>
        <w:t>国家样本城市应按照住建部的统一部署，开展自体检和社会满意度调查，按要求提交完整城市自体检成果，配合住建部组织的城市第三方体检工作。</w:t>
      </w:r>
    </w:p>
    <w:p w14:paraId="49A0C393">
      <w:pPr>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iCs/>
          <w:color w:val="000000"/>
          <w:spacing w:val="-2"/>
          <w:sz w:val="32"/>
          <w:szCs w:val="32"/>
          <w:lang w:val="zh-CN" w:bidi="zh-CN"/>
        </w:rPr>
      </w:pPr>
      <w:r>
        <w:rPr>
          <w:rFonts w:hint="default" w:ascii="Times New Roman" w:hAnsi="Times New Roman" w:eastAsia="仿宋_GB2312" w:cs="Times New Roman"/>
          <w:b w:val="0"/>
          <w:bCs w:val="0"/>
          <w:iCs/>
          <w:color w:val="000000"/>
          <w:spacing w:val="-2"/>
          <w:sz w:val="32"/>
          <w:szCs w:val="32"/>
          <w:lang w:val="zh-CN" w:bidi="zh-CN"/>
        </w:rPr>
        <w:t>2</w:t>
      </w:r>
      <w:r>
        <w:rPr>
          <w:rFonts w:hint="default" w:ascii="Times New Roman" w:hAnsi="Times New Roman" w:eastAsia="仿宋_GB2312" w:cs="Times New Roman"/>
          <w:b w:val="0"/>
          <w:bCs w:val="0"/>
          <w:iCs/>
          <w:color w:val="000000"/>
          <w:spacing w:val="-2"/>
          <w:sz w:val="32"/>
          <w:szCs w:val="32"/>
          <w:lang w:val="en-US" w:bidi="zh-CN"/>
        </w:rPr>
        <w:t xml:space="preserve"> </w:t>
      </w:r>
      <w:r>
        <w:rPr>
          <w:rFonts w:hint="default" w:ascii="Times New Roman" w:hAnsi="Times New Roman" w:eastAsia="仿宋_GB2312" w:cs="Times New Roman"/>
          <w:iCs/>
          <w:color w:val="000000"/>
          <w:spacing w:val="-2"/>
          <w:sz w:val="32"/>
          <w:szCs w:val="32"/>
          <w:lang w:val="zh-CN" w:bidi="zh-CN"/>
        </w:rPr>
        <w:t>省级样本城市开展城市自体检工作，由省住建厅组织开展城市第三方体检工作。</w:t>
      </w:r>
    </w:p>
    <w:p w14:paraId="3483DCEC">
      <w:pPr>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b w:val="0"/>
          <w:bCs w:val="0"/>
          <w:iCs/>
          <w:color w:val="000000"/>
          <w:spacing w:val="-2"/>
          <w:sz w:val="32"/>
          <w:szCs w:val="32"/>
          <w:lang w:val="zh-CN" w:bidi="zh-CN"/>
        </w:rPr>
      </w:pPr>
      <w:r>
        <w:rPr>
          <w:rFonts w:hint="default" w:ascii="Times New Roman" w:hAnsi="Times New Roman" w:eastAsia="仿宋_GB2312" w:cs="Times New Roman"/>
          <w:b w:val="0"/>
          <w:bCs w:val="0"/>
          <w:iCs/>
          <w:color w:val="000000"/>
          <w:spacing w:val="-2"/>
          <w:sz w:val="32"/>
          <w:szCs w:val="32"/>
          <w:lang w:val="zh-CN" w:bidi="zh-CN"/>
        </w:rPr>
        <w:t>3</w:t>
      </w:r>
      <w:r>
        <w:rPr>
          <w:rFonts w:hint="default" w:ascii="Times New Roman" w:hAnsi="Times New Roman" w:eastAsia="仿宋_GB2312" w:cs="Times New Roman"/>
          <w:b w:val="0"/>
          <w:bCs w:val="0"/>
          <w:iCs/>
          <w:color w:val="000000"/>
          <w:spacing w:val="-2"/>
          <w:sz w:val="32"/>
          <w:szCs w:val="32"/>
          <w:lang w:val="en-US" w:bidi="zh-CN"/>
        </w:rPr>
        <w:t xml:space="preserve"> </w:t>
      </w:r>
      <w:r>
        <w:rPr>
          <w:rFonts w:hint="default" w:ascii="Times New Roman" w:hAnsi="Times New Roman" w:eastAsia="仿宋_GB2312" w:cs="Times New Roman"/>
          <w:b w:val="0"/>
          <w:bCs w:val="0"/>
          <w:iCs/>
          <w:color w:val="000000"/>
          <w:spacing w:val="-2"/>
          <w:sz w:val="32"/>
          <w:szCs w:val="32"/>
          <w:lang w:val="zh-CN" w:bidi="zh-CN"/>
        </w:rPr>
        <w:t>其他设区市开展城市自体检工作。</w:t>
      </w:r>
    </w:p>
    <w:p w14:paraId="19D6B878">
      <w:pPr>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iCs/>
          <w:color w:val="000000"/>
          <w:spacing w:val="-2"/>
          <w:sz w:val="32"/>
          <w:szCs w:val="32"/>
          <w:lang w:val="zh-CN" w:bidi="zh-CN"/>
        </w:rPr>
      </w:pPr>
      <w:r>
        <w:rPr>
          <w:rFonts w:hint="default" w:ascii="Times New Roman" w:hAnsi="Times New Roman" w:eastAsia="仿宋_GB2312" w:cs="Times New Roman"/>
          <w:b w:val="0"/>
          <w:bCs w:val="0"/>
          <w:iCs/>
          <w:color w:val="000000"/>
          <w:spacing w:val="-2"/>
          <w:sz w:val="32"/>
          <w:szCs w:val="32"/>
          <w:lang w:val="zh-CN" w:bidi="zh-CN"/>
        </w:rPr>
        <w:t>4</w:t>
      </w:r>
      <w:r>
        <w:rPr>
          <w:rFonts w:hint="default" w:ascii="Times New Roman" w:hAnsi="Times New Roman" w:eastAsia="仿宋_GB2312" w:cs="Times New Roman"/>
          <w:b w:val="0"/>
          <w:bCs w:val="0"/>
          <w:iCs/>
          <w:color w:val="000000"/>
          <w:spacing w:val="-2"/>
          <w:sz w:val="32"/>
          <w:szCs w:val="32"/>
          <w:lang w:val="en-US" w:bidi="zh-CN"/>
        </w:rPr>
        <w:t xml:space="preserve"> </w:t>
      </w:r>
      <w:r>
        <w:rPr>
          <w:rFonts w:hint="default" w:ascii="Times New Roman" w:hAnsi="Times New Roman" w:eastAsia="仿宋_GB2312" w:cs="Times New Roman"/>
          <w:iCs/>
          <w:color w:val="000000"/>
          <w:spacing w:val="-2"/>
          <w:sz w:val="32"/>
          <w:szCs w:val="32"/>
          <w:lang w:val="zh-CN" w:bidi="zh-CN"/>
        </w:rPr>
        <w:t>县级市和县城根据要求及实际情况，适时开展城市自体检工作。</w:t>
      </w:r>
    </w:p>
    <w:p w14:paraId="7F54ADF3">
      <w:pPr>
        <w:pageBreakBefore w:val="0"/>
        <w:widowControl w:val="0"/>
        <w:kinsoku/>
        <w:wordWrap/>
        <w:overflowPunct/>
        <w:topLinePunct w:val="0"/>
        <w:autoSpaceDE/>
        <w:autoSpaceDN/>
        <w:bidi w:val="0"/>
        <w:adjustRightInd/>
        <w:snapToGrid/>
        <w:spacing w:line="540" w:lineRule="exact"/>
        <w:ind w:firstLine="635" w:firstLineChars="200"/>
        <w:textAlignment w:val="auto"/>
        <w:rPr>
          <w:rFonts w:hint="default" w:ascii="Times New Roman" w:hAnsi="Times New Roman" w:eastAsia="仿宋_GB2312" w:cs="Times New Roman"/>
          <w:iCs/>
          <w:spacing w:val="-2"/>
          <w:sz w:val="32"/>
          <w:szCs w:val="32"/>
          <w:lang w:val="zh-CN" w:bidi="zh-CN"/>
        </w:rPr>
      </w:pPr>
      <w:r>
        <w:rPr>
          <w:rFonts w:hint="default" w:ascii="Times New Roman" w:hAnsi="Times New Roman" w:eastAsia="仿宋_GB2312" w:cs="Times New Roman"/>
          <w:b/>
          <w:iCs/>
          <w:spacing w:val="-2"/>
          <w:sz w:val="32"/>
          <w:szCs w:val="32"/>
          <w:lang w:val="zh-CN" w:bidi="zh-CN"/>
        </w:rPr>
        <w:t>确定城市体检指标体系。</w:t>
      </w:r>
      <w:r>
        <w:rPr>
          <w:rFonts w:hint="default" w:ascii="Times New Roman" w:hAnsi="Times New Roman" w:eastAsia="仿宋_GB2312" w:cs="Times New Roman"/>
          <w:iCs/>
          <w:spacing w:val="-2"/>
          <w:sz w:val="32"/>
          <w:szCs w:val="32"/>
          <w:lang w:val="zh-CN" w:bidi="zh-CN"/>
        </w:rPr>
        <w:t>各地参照本导则，结合地方实际需求与特色建立“</w:t>
      </w:r>
      <w:bookmarkStart w:id="8" w:name="_Hlk139961017"/>
      <w:r>
        <w:rPr>
          <w:rFonts w:hint="default" w:ascii="Times New Roman" w:hAnsi="Times New Roman" w:eastAsia="仿宋_GB2312" w:cs="Times New Roman"/>
          <w:iCs/>
          <w:spacing w:val="-2"/>
          <w:sz w:val="32"/>
          <w:szCs w:val="32"/>
          <w:lang w:val="zh-CN" w:bidi="zh-CN"/>
        </w:rPr>
        <w:t>部级+省级+地市级</w:t>
      </w:r>
      <w:bookmarkEnd w:id="8"/>
      <w:r>
        <w:rPr>
          <w:rFonts w:hint="default" w:ascii="Times New Roman" w:hAnsi="Times New Roman" w:eastAsia="仿宋_GB2312" w:cs="Times New Roman"/>
          <w:iCs/>
          <w:spacing w:val="-2"/>
          <w:sz w:val="32"/>
          <w:szCs w:val="32"/>
          <w:lang w:val="zh-CN" w:bidi="zh-CN"/>
        </w:rPr>
        <w:t>”城市体检指标体系。地方城市体检指标每年可根据城市发展要求和上级工作部署要求进行适当调整更新，但应保持总体基本稳定、可延续、可监测。</w:t>
      </w:r>
    </w:p>
    <w:p w14:paraId="458A2170">
      <w:pPr>
        <w:pageBreakBefore w:val="0"/>
        <w:widowControl w:val="0"/>
        <w:kinsoku/>
        <w:wordWrap/>
        <w:overflowPunct/>
        <w:topLinePunct w:val="0"/>
        <w:autoSpaceDE/>
        <w:autoSpaceDN/>
        <w:bidi w:val="0"/>
        <w:adjustRightInd/>
        <w:snapToGrid/>
        <w:spacing w:line="540" w:lineRule="exact"/>
        <w:ind w:firstLine="635" w:firstLineChars="200"/>
        <w:textAlignment w:val="auto"/>
        <w:rPr>
          <w:rFonts w:hint="default" w:ascii="Times New Roman" w:hAnsi="Times New Roman" w:eastAsia="仿宋_GB2312" w:cs="Times New Roman"/>
          <w:iCs/>
          <w:color w:val="000000"/>
          <w:spacing w:val="-2"/>
          <w:sz w:val="32"/>
          <w:szCs w:val="32"/>
          <w:lang w:val="zh-CN" w:bidi="zh-CN"/>
        </w:rPr>
      </w:pPr>
      <w:r>
        <w:rPr>
          <w:rFonts w:hint="default" w:ascii="Times New Roman" w:hAnsi="Times New Roman" w:eastAsia="仿宋_GB2312" w:cs="Times New Roman"/>
          <w:b/>
          <w:iCs/>
          <w:color w:val="000000"/>
          <w:spacing w:val="-2"/>
          <w:sz w:val="32"/>
          <w:szCs w:val="32"/>
          <w:lang w:val="zh-CN" w:bidi="zh-CN"/>
        </w:rPr>
        <w:t>指标数据的采集与分析。</w:t>
      </w:r>
      <w:r>
        <w:rPr>
          <w:rFonts w:hint="default" w:ascii="Times New Roman" w:hAnsi="Times New Roman" w:eastAsia="仿宋_GB2312" w:cs="Times New Roman"/>
          <w:iCs/>
          <w:color w:val="000000"/>
          <w:spacing w:val="-2"/>
          <w:sz w:val="32"/>
          <w:szCs w:val="32"/>
          <w:lang w:val="zh-CN" w:bidi="zh-CN"/>
        </w:rPr>
        <w:t>开展各项城市体检指标的采集方式、数据来源等研究工作，制定城市体检指标体系采集实施方案，开展指标数据采集，并对各项指标进行分析评估，应确保指标计算结果与结论经得起检查验证。</w:t>
      </w:r>
    </w:p>
    <w:p w14:paraId="09D6DE0A">
      <w:pPr>
        <w:pageBreakBefore w:val="0"/>
        <w:widowControl w:val="0"/>
        <w:kinsoku/>
        <w:wordWrap/>
        <w:overflowPunct/>
        <w:topLinePunct w:val="0"/>
        <w:autoSpaceDE/>
        <w:autoSpaceDN/>
        <w:bidi w:val="0"/>
        <w:adjustRightInd/>
        <w:snapToGrid/>
        <w:spacing w:line="540" w:lineRule="exact"/>
        <w:ind w:firstLine="635" w:firstLineChars="200"/>
        <w:textAlignment w:val="auto"/>
        <w:rPr>
          <w:rFonts w:hint="default" w:ascii="Times New Roman" w:hAnsi="Times New Roman" w:eastAsia="仿宋_GB2312" w:cs="Times New Roman"/>
          <w:iCs/>
          <w:color w:val="000000"/>
          <w:spacing w:val="-2"/>
          <w:sz w:val="32"/>
          <w:szCs w:val="32"/>
          <w:lang w:val="zh-CN" w:bidi="zh-CN"/>
        </w:rPr>
      </w:pPr>
      <w:r>
        <w:rPr>
          <w:rFonts w:hint="default" w:ascii="Times New Roman" w:hAnsi="Times New Roman" w:eastAsia="仿宋_GB2312" w:cs="Times New Roman"/>
          <w:b/>
          <w:iCs/>
          <w:color w:val="000000"/>
          <w:spacing w:val="-2"/>
          <w:sz w:val="32"/>
          <w:szCs w:val="32"/>
          <w:lang w:val="zh-CN" w:bidi="zh-CN"/>
        </w:rPr>
        <w:t>成果编制与结果反馈。</w:t>
      </w:r>
      <w:r>
        <w:rPr>
          <w:rFonts w:hint="default" w:ascii="Times New Roman" w:hAnsi="Times New Roman" w:eastAsia="仿宋_GB2312" w:cs="Times New Roman"/>
          <w:iCs/>
          <w:color w:val="000000"/>
          <w:spacing w:val="-2"/>
          <w:sz w:val="32"/>
          <w:szCs w:val="32"/>
          <w:lang w:val="zh-CN" w:bidi="zh-CN"/>
        </w:rPr>
        <w:t>属地政府统筹推进城市体检重要事项，各职能部门负责基础资料收集与完善、专业评估等工作，形成城市体检报告。属地政府应将体检评估结果</w:t>
      </w:r>
      <w:r>
        <w:rPr>
          <w:rFonts w:hint="default" w:ascii="Times New Roman" w:hAnsi="Times New Roman" w:eastAsia="仿宋_GB2312" w:cs="Times New Roman"/>
          <w:iCs/>
          <w:color w:val="000000"/>
          <w:spacing w:val="-2"/>
          <w:sz w:val="32"/>
          <w:szCs w:val="32"/>
          <w:lang w:bidi="zh-CN"/>
        </w:rPr>
        <w:t>反馈至</w:t>
      </w:r>
      <w:r>
        <w:rPr>
          <w:rFonts w:hint="default" w:ascii="Times New Roman" w:hAnsi="Times New Roman" w:eastAsia="仿宋_GB2312" w:cs="Times New Roman"/>
          <w:iCs/>
          <w:color w:val="000000"/>
          <w:spacing w:val="-2"/>
          <w:sz w:val="32"/>
          <w:szCs w:val="32"/>
          <w:lang w:val="zh-CN" w:bidi="zh-CN"/>
        </w:rPr>
        <w:t>城市更新年度实施方案，推动城市体检与城市更新工作相衔接。</w:t>
      </w:r>
    </w:p>
    <w:p w14:paraId="435BAFA1">
      <w:pPr>
        <w:pStyle w:val="5"/>
        <w:pageBreakBefore w:val="0"/>
        <w:widowControl w:val="0"/>
        <w:numPr>
          <w:ilvl w:val="0"/>
          <w:numId w:val="5"/>
        </w:numPr>
        <w:kinsoku/>
        <w:wordWrap/>
        <w:overflowPunct/>
        <w:topLinePunct w:val="0"/>
        <w:autoSpaceDE/>
        <w:autoSpaceDN/>
        <w:bidi w:val="0"/>
        <w:adjustRightInd/>
        <w:snapToGrid/>
        <w:spacing w:before="0" w:beforeLines="0" w:after="0" w:afterLines="0" w:line="540" w:lineRule="exact"/>
        <w:ind w:firstLineChars="0"/>
        <w:textAlignment w:val="auto"/>
        <w:rPr>
          <w:rFonts w:hint="default" w:ascii="Times New Roman" w:hAnsi="Times New Roman" w:eastAsia="仿宋_GB2312" w:cs="Times New Roman"/>
          <w:color w:val="000000"/>
          <w:sz w:val="32"/>
          <w:szCs w:val="32"/>
        </w:rPr>
      </w:pPr>
      <w:bookmarkStart w:id="9" w:name="_Toc1115511543"/>
      <w:r>
        <w:rPr>
          <w:rFonts w:hint="default" w:ascii="Times New Roman" w:hAnsi="Times New Roman" w:eastAsia="仿宋_GB2312" w:cs="Times New Roman"/>
          <w:color w:val="000000"/>
          <w:sz w:val="32"/>
          <w:szCs w:val="32"/>
        </w:rPr>
        <w:t>工作内容</w:t>
      </w:r>
      <w:bookmarkEnd w:id="9"/>
    </w:p>
    <w:p w14:paraId="43939051">
      <w:pPr>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iCs/>
          <w:color w:val="000000"/>
          <w:spacing w:val="-3"/>
          <w:sz w:val="32"/>
          <w:szCs w:val="32"/>
          <w:lang w:val="zh-CN" w:bidi="zh-CN"/>
        </w:rPr>
      </w:pPr>
      <w:r>
        <w:rPr>
          <w:rFonts w:hint="default" w:ascii="Times New Roman" w:hAnsi="Times New Roman" w:eastAsia="仿宋_GB2312" w:cs="Times New Roman"/>
          <w:iCs/>
          <w:color w:val="000000"/>
          <w:spacing w:val="-2"/>
          <w:sz w:val="32"/>
          <w:szCs w:val="32"/>
          <w:lang w:val="zh-CN" w:bidi="zh-CN"/>
        </w:rPr>
        <w:t>采取</w:t>
      </w:r>
      <w:r>
        <w:rPr>
          <w:rFonts w:hint="default" w:ascii="Times New Roman" w:hAnsi="Times New Roman" w:eastAsia="仿宋_GB2312" w:cs="Times New Roman"/>
          <w:b/>
          <w:iCs/>
          <w:color w:val="000000"/>
          <w:spacing w:val="-2"/>
          <w:sz w:val="32"/>
          <w:szCs w:val="32"/>
          <w:lang w:val="zh-CN" w:bidi="zh-CN"/>
        </w:rPr>
        <w:t>“城市自体检+社会满意度调查+城市第三方体检”</w:t>
      </w:r>
      <w:r>
        <w:rPr>
          <w:rFonts w:hint="default" w:ascii="Times New Roman" w:hAnsi="Times New Roman" w:eastAsia="仿宋_GB2312" w:cs="Times New Roman"/>
          <w:iCs/>
          <w:color w:val="000000"/>
          <w:spacing w:val="-2"/>
          <w:sz w:val="32"/>
          <w:szCs w:val="32"/>
          <w:lang w:val="zh-CN" w:bidi="zh-CN"/>
        </w:rPr>
        <w:t>相结合的工作模式，科学高效开展全省城市体检工作。</w:t>
      </w:r>
      <w:r>
        <w:rPr>
          <w:rFonts w:hint="default" w:ascii="Times New Roman" w:hAnsi="Times New Roman" w:eastAsia="仿宋_GB2312" w:cs="Times New Roman"/>
          <w:b/>
          <w:bCs/>
          <w:iCs/>
          <w:color w:val="000000"/>
          <w:spacing w:val="-2"/>
          <w:sz w:val="32"/>
          <w:szCs w:val="32"/>
          <w:lang w:val="zh-CN" w:bidi="zh-CN"/>
        </w:rPr>
        <w:t>鼓励各地结合自身实际开展城市专项体检工作。</w:t>
      </w:r>
      <w:r>
        <w:rPr>
          <w:rFonts w:hint="default" w:ascii="Times New Roman" w:hAnsi="Times New Roman" w:eastAsia="仿宋_GB2312" w:cs="Times New Roman"/>
          <w:iCs/>
          <w:color w:val="000000"/>
          <w:spacing w:val="-3"/>
          <w:sz w:val="32"/>
          <w:szCs w:val="32"/>
          <w:lang w:val="zh-CN" w:bidi="zh-CN"/>
        </w:rPr>
        <w:t>其中：</w:t>
      </w:r>
    </w:p>
    <w:p w14:paraId="2234F79E">
      <w:pPr>
        <w:pageBreakBefore w:val="0"/>
        <w:widowControl w:val="0"/>
        <w:kinsoku/>
        <w:wordWrap/>
        <w:overflowPunct/>
        <w:topLinePunct w:val="0"/>
        <w:autoSpaceDE/>
        <w:autoSpaceDN/>
        <w:bidi w:val="0"/>
        <w:adjustRightInd/>
        <w:snapToGrid/>
        <w:spacing w:line="540" w:lineRule="exact"/>
        <w:ind w:firstLine="635" w:firstLineChars="200"/>
        <w:textAlignment w:val="auto"/>
        <w:rPr>
          <w:rFonts w:hint="default" w:ascii="Times New Roman" w:hAnsi="Times New Roman" w:eastAsia="仿宋_GB2312" w:cs="Times New Roman"/>
          <w:iCs/>
          <w:color w:val="000000"/>
          <w:spacing w:val="-2"/>
          <w:sz w:val="32"/>
          <w:szCs w:val="32"/>
          <w:lang w:val="zh-CN" w:bidi="zh-CN"/>
        </w:rPr>
      </w:pPr>
      <w:r>
        <w:rPr>
          <w:rFonts w:hint="default" w:ascii="Times New Roman" w:hAnsi="Times New Roman" w:eastAsia="仿宋_GB2312" w:cs="Times New Roman"/>
          <w:b/>
          <w:bCs/>
          <w:iCs/>
          <w:color w:val="000000"/>
          <w:spacing w:val="-2"/>
          <w:sz w:val="32"/>
          <w:szCs w:val="32"/>
          <w:lang w:val="zh-CN" w:bidi="zh-CN"/>
        </w:rPr>
        <w:t>城市自体检</w:t>
      </w:r>
      <w:r>
        <w:rPr>
          <w:rFonts w:hint="default" w:ascii="Times New Roman" w:hAnsi="Times New Roman" w:eastAsia="仿宋_GB2312" w:cs="Times New Roman"/>
          <w:iCs/>
          <w:color w:val="000000"/>
          <w:spacing w:val="-2"/>
          <w:sz w:val="32"/>
          <w:szCs w:val="32"/>
          <w:lang w:val="zh-CN" w:bidi="zh-CN"/>
        </w:rPr>
        <w:t>是城市体检工作的重要组成部分，</w:t>
      </w:r>
      <w:r>
        <w:rPr>
          <w:rFonts w:hint="default" w:ascii="Times New Roman" w:hAnsi="Times New Roman" w:eastAsia="仿宋_GB2312" w:cs="Times New Roman"/>
          <w:iCs/>
          <w:color w:val="000000"/>
          <w:spacing w:val="-2"/>
          <w:sz w:val="32"/>
          <w:szCs w:val="32"/>
          <w:lang w:bidi="zh-CN"/>
        </w:rPr>
        <w:t>属地</w:t>
      </w:r>
      <w:r>
        <w:rPr>
          <w:rFonts w:hint="default" w:ascii="Times New Roman" w:hAnsi="Times New Roman" w:eastAsia="仿宋_GB2312" w:cs="Times New Roman"/>
          <w:iCs/>
          <w:color w:val="000000"/>
          <w:spacing w:val="-2"/>
          <w:sz w:val="32"/>
          <w:szCs w:val="32"/>
          <w:lang w:val="zh-CN" w:bidi="zh-CN"/>
        </w:rPr>
        <w:t>政府是城市自体检评估的工作主体。城市自体检以本地区官方统计或调查数据为主要依据，对城市体检各项指标进行测算分析，查找住房、小区（社区）、街区、城区（城市）不同维度的问题，分析评价城市建设成效和短板</w:t>
      </w:r>
      <w:r>
        <w:rPr>
          <w:rFonts w:hint="default" w:ascii="Times New Roman" w:hAnsi="Times New Roman" w:eastAsia="仿宋_GB2312" w:cs="Times New Roman"/>
          <w:iCs/>
          <w:spacing w:val="-2"/>
          <w:sz w:val="32"/>
          <w:szCs w:val="32"/>
          <w:lang w:val="zh-CN" w:bidi="zh-CN"/>
        </w:rPr>
        <w:t>，适时向社会公开体检评估结果。</w:t>
      </w:r>
      <w:r>
        <w:rPr>
          <w:rFonts w:hint="default" w:ascii="Times New Roman" w:hAnsi="Times New Roman" w:eastAsia="仿宋_GB2312" w:cs="Times New Roman"/>
          <w:iCs/>
          <w:color w:val="000000"/>
          <w:spacing w:val="-2"/>
          <w:sz w:val="32"/>
          <w:szCs w:val="32"/>
          <w:lang w:val="zh-CN" w:bidi="zh-CN"/>
        </w:rPr>
        <w:t>结合体检评估成果，编制城市更新行动、专项整治规划和年度实施方案。城市自体检评估应同步开展社会满意度调查工作。</w:t>
      </w:r>
    </w:p>
    <w:p w14:paraId="12CA0B0B">
      <w:pPr>
        <w:pageBreakBefore w:val="0"/>
        <w:widowControl w:val="0"/>
        <w:kinsoku/>
        <w:wordWrap/>
        <w:overflowPunct/>
        <w:topLinePunct w:val="0"/>
        <w:autoSpaceDE/>
        <w:autoSpaceDN/>
        <w:bidi w:val="0"/>
        <w:adjustRightInd/>
        <w:snapToGrid/>
        <w:spacing w:line="540" w:lineRule="exact"/>
        <w:ind w:firstLine="635" w:firstLineChars="200"/>
        <w:textAlignment w:val="auto"/>
        <w:rPr>
          <w:rFonts w:hint="default" w:ascii="Times New Roman" w:hAnsi="Times New Roman" w:eastAsia="仿宋_GB2312" w:cs="Times New Roman"/>
          <w:iCs/>
          <w:color w:val="000000"/>
          <w:spacing w:val="-2"/>
          <w:sz w:val="32"/>
          <w:szCs w:val="32"/>
          <w:lang w:val="zh-CN" w:bidi="zh-CN"/>
        </w:rPr>
      </w:pPr>
      <w:r>
        <w:rPr>
          <w:rFonts w:hint="default" w:ascii="Times New Roman" w:hAnsi="Times New Roman" w:eastAsia="仿宋_GB2312" w:cs="Times New Roman"/>
          <w:b/>
          <w:bCs/>
          <w:iCs/>
          <w:color w:val="000000"/>
          <w:spacing w:val="-2"/>
          <w:sz w:val="32"/>
          <w:szCs w:val="32"/>
          <w:lang w:val="zh-CN" w:bidi="zh-CN"/>
        </w:rPr>
        <w:t>城市第三方体检</w:t>
      </w:r>
      <w:r>
        <w:rPr>
          <w:rFonts w:hint="default" w:ascii="Times New Roman" w:hAnsi="Times New Roman" w:eastAsia="仿宋_GB2312" w:cs="Times New Roman"/>
          <w:iCs/>
          <w:color w:val="000000"/>
          <w:spacing w:val="-2"/>
          <w:sz w:val="32"/>
          <w:szCs w:val="32"/>
          <w:lang w:val="zh-CN" w:bidi="zh-CN"/>
        </w:rPr>
        <w:t>由上一级城市体检工作主管部门委托第三方技术团队开展。</w:t>
      </w:r>
      <w:r>
        <w:rPr>
          <w:rFonts w:hint="default" w:ascii="Times New Roman" w:hAnsi="Times New Roman" w:eastAsia="仿宋_GB2312" w:cs="Times New Roman"/>
          <w:iCs/>
          <w:color w:val="000000"/>
          <w:spacing w:val="-2"/>
          <w:sz w:val="32"/>
          <w:szCs w:val="32"/>
          <w:lang w:bidi="zh-CN"/>
        </w:rPr>
        <w:t>一是对各地城市自体检工作组织、技术支撑团队、工作进度等方面安排的合理性进行评估，对发现的问题及时提醒，提出建议。二是校核城市自体检数据和结论的可靠性和合理性，注重互联网大数据、现场抽样调查、实地问卷调查等相对独立的数据来源，注重更高站位与对标城市的横向对比。</w:t>
      </w:r>
      <w:r>
        <w:rPr>
          <w:rFonts w:hint="default" w:ascii="Times New Roman" w:hAnsi="Times New Roman" w:eastAsia="仿宋_GB2312" w:cs="Times New Roman"/>
          <w:iCs/>
          <w:color w:val="000000"/>
          <w:spacing w:val="-2"/>
          <w:sz w:val="32"/>
          <w:szCs w:val="32"/>
          <w:lang w:val="zh-CN" w:bidi="zh-CN"/>
        </w:rPr>
        <w:t>综合评价城市人居环境质量，统筹全省城市建设领域的发展优势与问题短板，谋划下一阶段的工作重点及抓手。城市第三方体检评估应同步开展社会满意度调查工作。</w:t>
      </w:r>
    </w:p>
    <w:p w14:paraId="2AE528F0">
      <w:pPr>
        <w:pageBreakBefore w:val="0"/>
        <w:widowControl w:val="0"/>
        <w:kinsoku/>
        <w:wordWrap/>
        <w:overflowPunct/>
        <w:topLinePunct w:val="0"/>
        <w:autoSpaceDE/>
        <w:autoSpaceDN/>
        <w:bidi w:val="0"/>
        <w:adjustRightInd/>
        <w:snapToGrid/>
        <w:spacing w:line="540" w:lineRule="exact"/>
        <w:ind w:firstLine="635" w:firstLineChars="200"/>
        <w:textAlignment w:val="auto"/>
        <w:rPr>
          <w:rFonts w:hint="default" w:ascii="Times New Roman" w:hAnsi="Times New Roman" w:eastAsia="仿宋_GB2312" w:cs="Times New Roman"/>
          <w:iCs/>
          <w:color w:val="000000"/>
          <w:spacing w:val="-2"/>
          <w:sz w:val="32"/>
          <w:szCs w:val="32"/>
          <w:lang w:val="zh-CN" w:bidi="zh-CN"/>
        </w:rPr>
      </w:pPr>
      <w:r>
        <w:rPr>
          <w:rFonts w:hint="default" w:ascii="Times New Roman" w:hAnsi="Times New Roman" w:eastAsia="仿宋_GB2312" w:cs="Times New Roman"/>
          <w:b/>
          <w:bCs/>
          <w:iCs/>
          <w:color w:val="000000"/>
          <w:spacing w:val="-2"/>
          <w:sz w:val="32"/>
          <w:szCs w:val="32"/>
          <w:lang w:val="zh-CN" w:bidi="zh-CN"/>
        </w:rPr>
        <w:t>社会满意度调查</w:t>
      </w:r>
      <w:r>
        <w:rPr>
          <w:rFonts w:hint="default" w:ascii="Times New Roman" w:hAnsi="Times New Roman" w:eastAsia="仿宋_GB2312" w:cs="Times New Roman"/>
          <w:iCs/>
          <w:color w:val="000000"/>
          <w:spacing w:val="-2"/>
          <w:sz w:val="32"/>
          <w:szCs w:val="32"/>
          <w:lang w:val="zh-CN" w:bidi="zh-CN"/>
        </w:rPr>
        <w:t>由城市自体检团队与城市第三方体检团队独立开展，全面了解群众对城市人居环境质量的满意度，查找群众感受到的突出问题和短板。社会满意度调查分析成果应以单独成章的方式编入城市自体检与城市第三方体检报告。开展社会满意度调查时，城市自体检建议通过地方政府或其主管部门的官方媒体等渠道</w:t>
      </w:r>
      <w:r>
        <w:rPr>
          <w:rFonts w:hint="default" w:ascii="Times New Roman" w:hAnsi="Times New Roman" w:eastAsia="仿宋_GB2312" w:cs="Times New Roman"/>
          <w:iCs/>
          <w:color w:val="000000"/>
          <w:spacing w:val="-2"/>
          <w:sz w:val="32"/>
          <w:szCs w:val="32"/>
          <w:lang w:bidi="zh-CN"/>
        </w:rPr>
        <w:t>开展调查</w:t>
      </w:r>
      <w:r>
        <w:rPr>
          <w:rFonts w:hint="default" w:ascii="Times New Roman" w:hAnsi="Times New Roman" w:eastAsia="仿宋_GB2312" w:cs="Times New Roman"/>
          <w:iCs/>
          <w:color w:val="000000"/>
          <w:spacing w:val="-2"/>
          <w:sz w:val="32"/>
          <w:szCs w:val="32"/>
          <w:lang w:val="zh-CN" w:bidi="zh-CN"/>
        </w:rPr>
        <w:t>；城市第三方体检团队建议通过互联网第三方调查机构或现场实地发放问卷等形式</w:t>
      </w:r>
      <w:r>
        <w:rPr>
          <w:rFonts w:hint="default" w:ascii="Times New Roman" w:hAnsi="Times New Roman" w:eastAsia="仿宋_GB2312" w:cs="Times New Roman"/>
          <w:iCs/>
          <w:color w:val="000000"/>
          <w:spacing w:val="-2"/>
          <w:sz w:val="32"/>
          <w:szCs w:val="32"/>
          <w:lang w:bidi="zh-CN"/>
        </w:rPr>
        <w:t>开展调查</w:t>
      </w:r>
      <w:r>
        <w:rPr>
          <w:rFonts w:hint="default" w:ascii="Times New Roman" w:hAnsi="Times New Roman" w:eastAsia="仿宋_GB2312" w:cs="Times New Roman"/>
          <w:iCs/>
          <w:color w:val="000000"/>
          <w:spacing w:val="-2"/>
          <w:sz w:val="32"/>
          <w:szCs w:val="32"/>
          <w:lang w:val="zh-CN" w:bidi="zh-CN"/>
        </w:rPr>
        <w:t>。</w:t>
      </w:r>
    </w:p>
    <w:p w14:paraId="03B75C1A">
      <w:pPr>
        <w:pageBreakBefore w:val="0"/>
        <w:widowControl w:val="0"/>
        <w:kinsoku/>
        <w:wordWrap/>
        <w:overflowPunct/>
        <w:topLinePunct w:val="0"/>
        <w:autoSpaceDE/>
        <w:autoSpaceDN/>
        <w:bidi w:val="0"/>
        <w:adjustRightInd/>
        <w:snapToGrid/>
        <w:spacing w:line="540" w:lineRule="exact"/>
        <w:ind w:firstLine="635" w:firstLineChars="200"/>
        <w:textAlignment w:val="auto"/>
        <w:rPr>
          <w:rFonts w:hint="default" w:ascii="Times New Roman" w:hAnsi="Times New Roman" w:eastAsia="仿宋_GB2312" w:cs="Times New Roman"/>
          <w:iCs/>
          <w:spacing w:val="-2"/>
          <w:sz w:val="32"/>
          <w:szCs w:val="32"/>
          <w:lang w:val="zh-CN" w:bidi="zh-CN"/>
        </w:rPr>
      </w:pPr>
      <w:r>
        <w:rPr>
          <w:rFonts w:hint="default" w:ascii="Times New Roman" w:hAnsi="Times New Roman" w:eastAsia="仿宋_GB2312" w:cs="Times New Roman"/>
          <w:b/>
          <w:bCs/>
          <w:iCs/>
          <w:color w:val="000000"/>
          <w:spacing w:val="-2"/>
          <w:sz w:val="32"/>
          <w:szCs w:val="32"/>
          <w:lang w:val="zh-CN" w:bidi="zh-CN"/>
        </w:rPr>
        <w:t>城市专项体检</w:t>
      </w:r>
      <w:r>
        <w:rPr>
          <w:rFonts w:hint="default" w:ascii="Times New Roman" w:hAnsi="Times New Roman" w:eastAsia="仿宋_GB2312" w:cs="Times New Roman"/>
          <w:iCs/>
          <w:color w:val="000000"/>
          <w:spacing w:val="-2"/>
          <w:sz w:val="32"/>
          <w:szCs w:val="32"/>
          <w:lang w:val="zh-CN" w:bidi="zh-CN"/>
        </w:rPr>
        <w:t>纳入城市自体检工作内容，由城市自体检团队根据实际情况有条件组织开展</w:t>
      </w:r>
      <w:r>
        <w:rPr>
          <w:rFonts w:hint="default" w:ascii="Times New Roman" w:hAnsi="Times New Roman" w:eastAsia="仿宋_GB2312" w:cs="Times New Roman"/>
          <w:iCs/>
          <w:spacing w:val="-2"/>
          <w:sz w:val="32"/>
          <w:szCs w:val="32"/>
          <w:lang w:val="zh-CN" w:bidi="zh-CN"/>
        </w:rPr>
        <w:t>。重点围绕房屋安全、住房保障、历史文化名城保护、完整社区、</w:t>
      </w:r>
      <w:r>
        <w:rPr>
          <w:rFonts w:hint="default" w:ascii="Times New Roman" w:hAnsi="Times New Roman" w:eastAsia="仿宋_GB2312" w:cs="Times New Roman"/>
          <w:iCs/>
          <w:spacing w:val="-2"/>
          <w:sz w:val="32"/>
          <w:szCs w:val="32"/>
          <w:lang w:bidi="zh-CN"/>
        </w:rPr>
        <w:t>园林绿化、燃气安全、城中村改造、海绵城市建设</w:t>
      </w:r>
      <w:r>
        <w:rPr>
          <w:rFonts w:hint="default" w:ascii="Times New Roman" w:hAnsi="Times New Roman" w:eastAsia="仿宋_GB2312" w:cs="Times New Roman"/>
          <w:iCs/>
          <w:spacing w:val="-2"/>
          <w:sz w:val="32"/>
          <w:szCs w:val="32"/>
          <w:lang w:val="zh-CN" w:bidi="zh-CN"/>
        </w:rPr>
        <w:t>等城市发展建设实际需要开展城市专项体检，以相关城市体检指标为基础，通过新增专项体检指标的方式，丰富细化评估内容，深入剖析专项领域问题的产生原因，为后续精准治理提供依据。城市专项体检应与全国海绵城市建设评估、国家历史文化名城保护工作调研评估、城市综合管理服务评价、完整居住社区建设等国家部委开展的评估工作相衔接。各专项领域包括：</w:t>
      </w:r>
    </w:p>
    <w:p w14:paraId="6223E700">
      <w:pPr>
        <w:pageBreakBefore w:val="0"/>
        <w:widowControl w:val="0"/>
        <w:kinsoku/>
        <w:wordWrap/>
        <w:overflowPunct/>
        <w:topLinePunct w:val="0"/>
        <w:autoSpaceDE/>
        <w:autoSpaceDN/>
        <w:bidi w:val="0"/>
        <w:adjustRightInd/>
        <w:snapToGrid/>
        <w:spacing w:line="540" w:lineRule="exact"/>
        <w:ind w:firstLine="635" w:firstLineChars="200"/>
        <w:textAlignment w:val="auto"/>
        <w:rPr>
          <w:rFonts w:hint="default" w:ascii="Times New Roman" w:hAnsi="Times New Roman" w:eastAsia="仿宋_GB2312" w:cs="Times New Roman"/>
          <w:b/>
          <w:iCs/>
          <w:spacing w:val="-2"/>
          <w:sz w:val="32"/>
          <w:szCs w:val="32"/>
          <w:lang w:val="zh-CN" w:bidi="zh-CN"/>
        </w:rPr>
      </w:pPr>
      <w:r>
        <w:rPr>
          <w:rFonts w:hint="default" w:ascii="Times New Roman" w:hAnsi="Times New Roman" w:eastAsia="仿宋_GB2312" w:cs="Times New Roman"/>
          <w:b/>
          <w:iCs/>
          <w:spacing w:val="-2"/>
          <w:sz w:val="32"/>
          <w:szCs w:val="32"/>
          <w:lang w:val="en-US" w:bidi="zh-CN"/>
        </w:rPr>
        <w:t xml:space="preserve">1 </w:t>
      </w:r>
      <w:r>
        <w:rPr>
          <w:rFonts w:hint="default" w:ascii="Times New Roman" w:hAnsi="Times New Roman" w:eastAsia="仿宋_GB2312" w:cs="Times New Roman"/>
          <w:b/>
          <w:iCs/>
          <w:spacing w:val="-2"/>
          <w:sz w:val="32"/>
          <w:szCs w:val="32"/>
          <w:lang w:val="zh-CN" w:bidi="zh-CN"/>
        </w:rPr>
        <w:t>住房专项体检。</w:t>
      </w:r>
      <w:r>
        <w:rPr>
          <w:rFonts w:hint="default" w:ascii="Times New Roman" w:hAnsi="Times New Roman" w:eastAsia="仿宋_GB2312" w:cs="Times New Roman"/>
          <w:bCs/>
          <w:iCs/>
          <w:spacing w:val="-2"/>
          <w:sz w:val="32"/>
          <w:szCs w:val="32"/>
          <w:lang w:val="zh-CN" w:bidi="zh-CN"/>
        </w:rPr>
        <w:t>围绕住房保障、住房市场、住房品质、住房安全等方面开展专项体检，排查梳理城市住房领域突出问题，提升城市住房供给水平和治理水平。</w:t>
      </w:r>
    </w:p>
    <w:p w14:paraId="4BA1DCF0">
      <w:pPr>
        <w:pageBreakBefore w:val="0"/>
        <w:widowControl w:val="0"/>
        <w:kinsoku/>
        <w:wordWrap/>
        <w:overflowPunct/>
        <w:topLinePunct w:val="0"/>
        <w:autoSpaceDE/>
        <w:autoSpaceDN/>
        <w:bidi w:val="0"/>
        <w:adjustRightInd/>
        <w:snapToGrid/>
        <w:spacing w:line="540" w:lineRule="exact"/>
        <w:ind w:firstLine="635" w:firstLineChars="200"/>
        <w:textAlignment w:val="auto"/>
        <w:rPr>
          <w:rFonts w:hint="default" w:ascii="Times New Roman" w:hAnsi="Times New Roman" w:eastAsia="仿宋_GB2312" w:cs="Times New Roman"/>
          <w:b/>
          <w:iCs/>
          <w:spacing w:val="-2"/>
          <w:sz w:val="32"/>
          <w:szCs w:val="32"/>
          <w:lang w:val="zh-CN" w:bidi="zh-CN"/>
        </w:rPr>
      </w:pPr>
      <w:r>
        <w:rPr>
          <w:rFonts w:hint="default" w:ascii="Times New Roman" w:hAnsi="Times New Roman" w:eastAsia="仿宋_GB2312" w:cs="Times New Roman"/>
          <w:b/>
          <w:iCs/>
          <w:spacing w:val="-2"/>
          <w:sz w:val="32"/>
          <w:szCs w:val="32"/>
          <w:lang w:val="en-US" w:bidi="zh-CN"/>
        </w:rPr>
        <w:t xml:space="preserve">2 </w:t>
      </w:r>
      <w:r>
        <w:rPr>
          <w:rFonts w:hint="default" w:ascii="Times New Roman" w:hAnsi="Times New Roman" w:eastAsia="仿宋_GB2312" w:cs="Times New Roman"/>
          <w:b/>
          <w:iCs/>
          <w:spacing w:val="-2"/>
          <w:sz w:val="32"/>
          <w:szCs w:val="32"/>
          <w:lang w:val="zh-CN" w:bidi="zh-CN"/>
        </w:rPr>
        <w:t>历史文化保护专项体检。</w:t>
      </w:r>
      <w:r>
        <w:rPr>
          <w:rFonts w:hint="default" w:ascii="Times New Roman" w:hAnsi="Times New Roman" w:eastAsia="仿宋_GB2312" w:cs="Times New Roman"/>
          <w:bCs/>
          <w:iCs/>
          <w:spacing w:val="-2"/>
          <w:sz w:val="32"/>
          <w:szCs w:val="32"/>
          <w:lang w:val="zh-CN" w:bidi="zh-CN"/>
        </w:rPr>
        <w:t>围绕物质文化遗产保护与利用、非物质文化遗产保护与利用、基础设施改造与利用、保护管理工作等方面开展体检。通过体检</w:t>
      </w:r>
      <w:r>
        <w:rPr>
          <w:rFonts w:hint="default" w:ascii="Times New Roman" w:hAnsi="Times New Roman" w:eastAsia="仿宋_GB2312" w:cs="Times New Roman"/>
          <w:bCs/>
          <w:iCs/>
          <w:spacing w:val="-2"/>
          <w:sz w:val="32"/>
          <w:szCs w:val="32"/>
          <w:lang w:bidi="zh-CN"/>
        </w:rPr>
        <w:t>识别</w:t>
      </w:r>
      <w:r>
        <w:rPr>
          <w:rFonts w:hint="default" w:ascii="Times New Roman" w:hAnsi="Times New Roman" w:eastAsia="仿宋_GB2312" w:cs="Times New Roman"/>
          <w:bCs/>
          <w:iCs/>
          <w:spacing w:val="-2"/>
          <w:sz w:val="32"/>
          <w:szCs w:val="32"/>
          <w:lang w:val="zh-CN" w:bidi="zh-CN"/>
        </w:rPr>
        <w:t>城市历史文化保护突出问题，提出完善历史文化保护和管理运行的对策，提高城市历史文化保护和治理能力。</w:t>
      </w:r>
    </w:p>
    <w:p w14:paraId="6CF80658">
      <w:pPr>
        <w:pageBreakBefore w:val="0"/>
        <w:widowControl w:val="0"/>
        <w:kinsoku/>
        <w:wordWrap/>
        <w:overflowPunct/>
        <w:topLinePunct w:val="0"/>
        <w:autoSpaceDE/>
        <w:autoSpaceDN/>
        <w:bidi w:val="0"/>
        <w:adjustRightInd/>
        <w:snapToGrid/>
        <w:spacing w:line="540" w:lineRule="exact"/>
        <w:ind w:firstLine="635" w:firstLineChars="200"/>
        <w:textAlignment w:val="auto"/>
        <w:rPr>
          <w:rFonts w:hint="default" w:ascii="Times New Roman" w:hAnsi="Times New Roman" w:eastAsia="仿宋_GB2312" w:cs="Times New Roman"/>
          <w:b/>
          <w:iCs/>
          <w:spacing w:val="-2"/>
          <w:sz w:val="32"/>
          <w:szCs w:val="32"/>
          <w:lang w:val="zh-CN" w:bidi="zh-CN"/>
        </w:rPr>
      </w:pPr>
      <w:r>
        <w:rPr>
          <w:rFonts w:hint="default" w:ascii="Times New Roman" w:hAnsi="Times New Roman" w:eastAsia="仿宋_GB2312" w:cs="Times New Roman"/>
          <w:b/>
          <w:iCs/>
          <w:spacing w:val="-2"/>
          <w:sz w:val="32"/>
          <w:szCs w:val="32"/>
          <w:lang w:val="en-US" w:bidi="zh-CN"/>
        </w:rPr>
        <w:t xml:space="preserve">3 </w:t>
      </w:r>
      <w:r>
        <w:rPr>
          <w:rFonts w:hint="default" w:ascii="Times New Roman" w:hAnsi="Times New Roman" w:eastAsia="仿宋_GB2312" w:cs="Times New Roman"/>
          <w:b/>
          <w:iCs/>
          <w:spacing w:val="-2"/>
          <w:sz w:val="32"/>
          <w:szCs w:val="32"/>
          <w:lang w:bidi="zh-CN"/>
        </w:rPr>
        <w:t>完整社区</w:t>
      </w:r>
      <w:r>
        <w:rPr>
          <w:rFonts w:hint="default" w:ascii="Times New Roman" w:hAnsi="Times New Roman" w:eastAsia="仿宋_GB2312" w:cs="Times New Roman"/>
          <w:b/>
          <w:iCs/>
          <w:spacing w:val="-2"/>
          <w:sz w:val="32"/>
          <w:szCs w:val="32"/>
          <w:lang w:val="zh-CN" w:bidi="zh-CN"/>
        </w:rPr>
        <w:t>专项体检。</w:t>
      </w:r>
      <w:r>
        <w:rPr>
          <w:rFonts w:hint="default" w:ascii="Times New Roman" w:hAnsi="Times New Roman" w:eastAsia="仿宋_GB2312" w:cs="Times New Roman"/>
          <w:bCs/>
          <w:iCs/>
          <w:spacing w:val="-2"/>
          <w:sz w:val="32"/>
          <w:szCs w:val="32"/>
          <w:lang w:val="zh-CN" w:bidi="zh-CN"/>
        </w:rPr>
        <w:t>对标完整社区建设，重点围绕教育、医疗、卫生、养老、文体、交通、便民商业、综合服务等设施开展专项体检。结合设施“有没有”“够不够”“好不好”三个层面，形成问题清单，提出针对性策略建议。</w:t>
      </w:r>
    </w:p>
    <w:p w14:paraId="2FF8A626">
      <w:pPr>
        <w:pageBreakBefore w:val="0"/>
        <w:widowControl w:val="0"/>
        <w:kinsoku/>
        <w:wordWrap/>
        <w:overflowPunct/>
        <w:topLinePunct w:val="0"/>
        <w:autoSpaceDE/>
        <w:autoSpaceDN/>
        <w:bidi w:val="0"/>
        <w:adjustRightInd/>
        <w:snapToGrid/>
        <w:spacing w:line="540" w:lineRule="exact"/>
        <w:ind w:firstLine="635" w:firstLineChars="200"/>
        <w:textAlignment w:val="auto"/>
        <w:rPr>
          <w:rFonts w:hint="default" w:ascii="Times New Roman" w:hAnsi="Times New Roman" w:eastAsia="仿宋_GB2312" w:cs="Times New Roman"/>
          <w:b/>
          <w:iCs/>
          <w:spacing w:val="-2"/>
          <w:sz w:val="32"/>
          <w:szCs w:val="32"/>
          <w:lang w:val="zh-CN" w:bidi="zh-CN"/>
        </w:rPr>
      </w:pPr>
      <w:r>
        <w:rPr>
          <w:rFonts w:hint="default" w:ascii="Times New Roman" w:hAnsi="Times New Roman" w:eastAsia="仿宋_GB2312" w:cs="Times New Roman"/>
          <w:b/>
          <w:iCs/>
          <w:spacing w:val="-2"/>
          <w:sz w:val="32"/>
          <w:szCs w:val="32"/>
          <w:lang w:val="en-US" w:bidi="zh-CN"/>
        </w:rPr>
        <w:t xml:space="preserve">4 </w:t>
      </w:r>
      <w:r>
        <w:rPr>
          <w:rFonts w:hint="default" w:ascii="Times New Roman" w:hAnsi="Times New Roman" w:eastAsia="仿宋_GB2312" w:cs="Times New Roman"/>
          <w:b/>
          <w:iCs/>
          <w:spacing w:val="-2"/>
          <w:sz w:val="32"/>
          <w:szCs w:val="32"/>
          <w:lang w:val="zh-CN" w:bidi="zh-CN"/>
        </w:rPr>
        <w:t>园林绿化专项体检。</w:t>
      </w:r>
      <w:r>
        <w:rPr>
          <w:rFonts w:hint="default" w:ascii="Times New Roman" w:hAnsi="Times New Roman" w:eastAsia="仿宋_GB2312" w:cs="Times New Roman"/>
          <w:bCs/>
          <w:iCs/>
          <w:spacing w:val="-2"/>
          <w:sz w:val="32"/>
          <w:szCs w:val="32"/>
          <w:lang w:val="zh-CN" w:bidi="zh-CN"/>
        </w:rPr>
        <w:t>围绕绿地建设综合情况、公园绿地供给质量分析及供给数量质量分析、绿道建设成效等方面开展专项体检。采用资料调取、台账查阅、遥感提取、大数据分析与满意度调</w:t>
      </w:r>
      <w:r>
        <w:rPr>
          <w:rFonts w:hint="default" w:ascii="Times New Roman" w:hAnsi="Times New Roman" w:eastAsia="仿宋_GB2312" w:cs="Times New Roman"/>
          <w:bCs/>
          <w:iCs/>
          <w:spacing w:val="-2"/>
          <w:sz w:val="32"/>
          <w:szCs w:val="32"/>
          <w:lang w:bidi="zh-CN"/>
        </w:rPr>
        <w:t>查相</w:t>
      </w:r>
      <w:r>
        <w:rPr>
          <w:rFonts w:hint="default" w:ascii="Times New Roman" w:hAnsi="Times New Roman" w:eastAsia="仿宋_GB2312" w:cs="Times New Roman"/>
          <w:bCs/>
          <w:iCs/>
          <w:spacing w:val="-2"/>
          <w:sz w:val="32"/>
          <w:szCs w:val="32"/>
          <w:lang w:val="zh-CN" w:bidi="zh-CN"/>
        </w:rPr>
        <w:t>结合的方式，综合判断城市园林绿化突出问题，为提高绿地覆盖率和服务水平提出针对性建议。</w:t>
      </w:r>
    </w:p>
    <w:p w14:paraId="71E9B078">
      <w:pPr>
        <w:pageBreakBefore w:val="0"/>
        <w:widowControl w:val="0"/>
        <w:kinsoku/>
        <w:wordWrap/>
        <w:overflowPunct/>
        <w:topLinePunct w:val="0"/>
        <w:autoSpaceDE/>
        <w:autoSpaceDN/>
        <w:bidi w:val="0"/>
        <w:adjustRightInd/>
        <w:snapToGrid/>
        <w:spacing w:line="540" w:lineRule="exact"/>
        <w:ind w:firstLine="635" w:firstLineChars="200"/>
        <w:textAlignment w:val="auto"/>
        <w:rPr>
          <w:rFonts w:hint="default" w:ascii="Times New Roman" w:hAnsi="Times New Roman" w:eastAsia="仿宋_GB2312" w:cs="Times New Roman"/>
          <w:bCs/>
          <w:iCs/>
          <w:spacing w:val="-2"/>
          <w:sz w:val="32"/>
          <w:szCs w:val="32"/>
          <w:lang w:val="zh-CN" w:bidi="zh-CN"/>
        </w:rPr>
      </w:pPr>
      <w:r>
        <w:rPr>
          <w:rFonts w:hint="default" w:ascii="Times New Roman" w:hAnsi="Times New Roman" w:eastAsia="仿宋_GB2312" w:cs="Times New Roman"/>
          <w:b/>
          <w:iCs/>
          <w:spacing w:val="-2"/>
          <w:sz w:val="32"/>
          <w:szCs w:val="32"/>
          <w:lang w:val="en-US" w:bidi="zh-CN"/>
        </w:rPr>
        <w:t xml:space="preserve">5 </w:t>
      </w:r>
      <w:r>
        <w:rPr>
          <w:rFonts w:hint="default" w:ascii="Times New Roman" w:hAnsi="Times New Roman" w:eastAsia="仿宋_GB2312" w:cs="Times New Roman"/>
          <w:b/>
          <w:iCs/>
          <w:spacing w:val="-2"/>
          <w:sz w:val="32"/>
          <w:szCs w:val="32"/>
          <w:lang w:val="zh-CN" w:bidi="zh-CN"/>
        </w:rPr>
        <w:t>燃气安全专项体检。</w:t>
      </w:r>
      <w:r>
        <w:rPr>
          <w:rFonts w:hint="default" w:ascii="Times New Roman" w:hAnsi="Times New Roman" w:eastAsia="仿宋_GB2312" w:cs="Times New Roman"/>
          <w:bCs/>
          <w:iCs/>
          <w:spacing w:val="-2"/>
          <w:sz w:val="32"/>
          <w:szCs w:val="32"/>
          <w:lang w:val="zh-CN" w:bidi="zh-CN"/>
        </w:rPr>
        <w:t>围绕气源、管网、服务、安全、智慧、规划等方面开展体检。</w:t>
      </w:r>
      <w:r>
        <w:rPr>
          <w:rFonts w:hint="default" w:ascii="Times New Roman" w:hAnsi="Times New Roman" w:eastAsia="仿宋_GB2312" w:cs="Times New Roman"/>
          <w:bCs/>
          <w:iCs/>
          <w:spacing w:val="-2"/>
          <w:sz w:val="32"/>
          <w:szCs w:val="32"/>
          <w:lang w:bidi="zh-CN"/>
        </w:rPr>
        <w:t>基于</w:t>
      </w:r>
      <w:r>
        <w:rPr>
          <w:rFonts w:hint="default" w:ascii="Times New Roman" w:hAnsi="Times New Roman" w:eastAsia="仿宋_GB2312" w:cs="Times New Roman"/>
          <w:bCs/>
          <w:iCs/>
          <w:spacing w:val="-2"/>
          <w:sz w:val="32"/>
          <w:szCs w:val="32"/>
          <w:lang w:val="zh-CN" w:bidi="zh-CN"/>
        </w:rPr>
        <w:t>统计数据、监测数据</w:t>
      </w:r>
      <w:r>
        <w:rPr>
          <w:rFonts w:hint="default" w:ascii="Times New Roman" w:hAnsi="Times New Roman" w:eastAsia="仿宋_GB2312" w:cs="Times New Roman"/>
          <w:bCs/>
          <w:iCs/>
          <w:spacing w:val="-2"/>
          <w:sz w:val="32"/>
          <w:szCs w:val="32"/>
          <w:lang w:bidi="zh-CN"/>
        </w:rPr>
        <w:t>及</w:t>
      </w:r>
      <w:r>
        <w:rPr>
          <w:rFonts w:hint="default" w:ascii="Times New Roman" w:hAnsi="Times New Roman" w:eastAsia="仿宋_GB2312" w:cs="Times New Roman"/>
          <w:bCs/>
          <w:iCs/>
          <w:spacing w:val="-2"/>
          <w:sz w:val="32"/>
          <w:szCs w:val="32"/>
          <w:lang w:val="zh-CN" w:bidi="zh-CN"/>
        </w:rPr>
        <w:t>相关规划等</w:t>
      </w:r>
      <w:r>
        <w:rPr>
          <w:rFonts w:hint="default" w:ascii="Times New Roman" w:hAnsi="Times New Roman" w:eastAsia="仿宋_GB2312" w:cs="Times New Roman"/>
          <w:bCs/>
          <w:iCs/>
          <w:spacing w:val="-2"/>
          <w:sz w:val="32"/>
          <w:szCs w:val="32"/>
          <w:lang w:bidi="zh-CN"/>
        </w:rPr>
        <w:t>相关数据资料的研判</w:t>
      </w:r>
      <w:r>
        <w:rPr>
          <w:rFonts w:hint="default" w:ascii="Times New Roman" w:hAnsi="Times New Roman" w:eastAsia="仿宋_GB2312" w:cs="Times New Roman"/>
          <w:bCs/>
          <w:iCs/>
          <w:spacing w:val="-2"/>
          <w:sz w:val="32"/>
          <w:szCs w:val="32"/>
          <w:lang w:val="zh-CN" w:bidi="zh-CN"/>
        </w:rPr>
        <w:t>，</w:t>
      </w:r>
      <w:r>
        <w:rPr>
          <w:rFonts w:hint="default" w:ascii="Times New Roman" w:hAnsi="Times New Roman" w:eastAsia="仿宋_GB2312" w:cs="Times New Roman"/>
          <w:bCs/>
          <w:iCs/>
          <w:spacing w:val="-2"/>
          <w:sz w:val="32"/>
          <w:szCs w:val="32"/>
          <w:lang w:bidi="zh-CN"/>
        </w:rPr>
        <w:t>识别</w:t>
      </w:r>
      <w:r>
        <w:rPr>
          <w:rFonts w:hint="default" w:ascii="Times New Roman" w:hAnsi="Times New Roman" w:eastAsia="仿宋_GB2312" w:cs="Times New Roman"/>
          <w:bCs/>
          <w:iCs/>
          <w:spacing w:val="-2"/>
          <w:sz w:val="32"/>
          <w:szCs w:val="32"/>
          <w:lang w:val="zh-CN" w:bidi="zh-CN"/>
        </w:rPr>
        <w:t>城市燃气系统的短板</w:t>
      </w:r>
      <w:r>
        <w:rPr>
          <w:rFonts w:hint="default" w:ascii="Times New Roman" w:hAnsi="Times New Roman" w:eastAsia="仿宋_GB2312" w:cs="Times New Roman"/>
          <w:bCs/>
          <w:iCs/>
          <w:spacing w:val="-2"/>
          <w:sz w:val="32"/>
          <w:szCs w:val="32"/>
          <w:lang w:bidi="zh-CN"/>
        </w:rPr>
        <w:t>和潜在安全风险</w:t>
      </w:r>
      <w:r>
        <w:rPr>
          <w:rFonts w:hint="default" w:ascii="Times New Roman" w:hAnsi="Times New Roman" w:eastAsia="仿宋_GB2312" w:cs="Times New Roman"/>
          <w:bCs/>
          <w:iCs/>
          <w:spacing w:val="-2"/>
          <w:sz w:val="32"/>
          <w:szCs w:val="32"/>
          <w:lang w:val="zh-CN" w:bidi="zh-CN"/>
        </w:rPr>
        <w:t>，在此基础上给出建设、运行、维护</w:t>
      </w:r>
      <w:r>
        <w:rPr>
          <w:rFonts w:hint="default" w:ascii="Times New Roman" w:hAnsi="Times New Roman" w:eastAsia="仿宋_GB2312" w:cs="Times New Roman"/>
          <w:bCs/>
          <w:iCs/>
          <w:spacing w:val="-2"/>
          <w:sz w:val="32"/>
          <w:szCs w:val="32"/>
          <w:lang w:bidi="zh-CN"/>
        </w:rPr>
        <w:t>建议</w:t>
      </w:r>
      <w:r>
        <w:rPr>
          <w:rFonts w:hint="default" w:ascii="Times New Roman" w:hAnsi="Times New Roman" w:eastAsia="仿宋_GB2312" w:cs="Times New Roman"/>
          <w:bCs/>
          <w:iCs/>
          <w:spacing w:val="-2"/>
          <w:sz w:val="32"/>
          <w:szCs w:val="32"/>
          <w:lang w:val="zh-CN" w:bidi="zh-CN"/>
        </w:rPr>
        <w:t>，形成城市燃气体检报告。</w:t>
      </w:r>
    </w:p>
    <w:p w14:paraId="6375A34B">
      <w:pPr>
        <w:pageBreakBefore w:val="0"/>
        <w:widowControl w:val="0"/>
        <w:kinsoku/>
        <w:wordWrap/>
        <w:overflowPunct/>
        <w:topLinePunct w:val="0"/>
        <w:autoSpaceDE/>
        <w:autoSpaceDN/>
        <w:bidi w:val="0"/>
        <w:adjustRightInd/>
        <w:snapToGrid/>
        <w:spacing w:line="540" w:lineRule="exact"/>
        <w:ind w:firstLine="635" w:firstLineChars="200"/>
        <w:textAlignment w:val="auto"/>
        <w:rPr>
          <w:rFonts w:hint="default" w:ascii="Times New Roman" w:hAnsi="Times New Roman" w:eastAsia="仿宋_GB2312" w:cs="Times New Roman"/>
          <w:bCs/>
          <w:iCs/>
          <w:spacing w:val="-2"/>
          <w:sz w:val="32"/>
          <w:szCs w:val="32"/>
          <w:lang w:val="zh-CN" w:bidi="zh-CN"/>
        </w:rPr>
      </w:pPr>
      <w:r>
        <w:rPr>
          <w:rFonts w:hint="default" w:ascii="Times New Roman" w:hAnsi="Times New Roman" w:eastAsia="仿宋_GB2312" w:cs="Times New Roman"/>
          <w:b/>
          <w:iCs/>
          <w:spacing w:val="-2"/>
          <w:sz w:val="32"/>
          <w:szCs w:val="32"/>
          <w:lang w:val="en-US" w:bidi="zh-CN"/>
        </w:rPr>
        <w:t xml:space="preserve">6 </w:t>
      </w:r>
      <w:r>
        <w:rPr>
          <w:rFonts w:hint="default" w:ascii="Times New Roman" w:hAnsi="Times New Roman" w:eastAsia="仿宋_GB2312" w:cs="Times New Roman"/>
          <w:b/>
          <w:iCs/>
          <w:spacing w:val="-2"/>
          <w:sz w:val="32"/>
          <w:szCs w:val="32"/>
          <w:lang w:val="zh-CN" w:bidi="zh-CN"/>
        </w:rPr>
        <w:t>城中村专项体检。</w:t>
      </w:r>
      <w:r>
        <w:rPr>
          <w:rFonts w:hint="default" w:ascii="Times New Roman" w:hAnsi="Times New Roman" w:eastAsia="仿宋_GB2312" w:cs="Times New Roman"/>
          <w:bCs/>
          <w:iCs/>
          <w:spacing w:val="-2"/>
          <w:sz w:val="32"/>
          <w:szCs w:val="32"/>
          <w:lang w:val="zh-CN" w:bidi="zh-CN"/>
        </w:rPr>
        <w:t>重点围绕城中村</w:t>
      </w:r>
      <w:r>
        <w:rPr>
          <w:rFonts w:hint="default" w:ascii="Times New Roman" w:hAnsi="Times New Roman" w:eastAsia="仿宋_GB2312" w:cs="Times New Roman"/>
          <w:bCs/>
          <w:iCs/>
          <w:spacing w:val="-2"/>
          <w:sz w:val="32"/>
          <w:szCs w:val="32"/>
          <w:lang w:bidi="zh-CN"/>
        </w:rPr>
        <w:t>公共卫生风险、房屋安全和消防安全、民生服务设施配套、生态环境、社会治理等突出问题开展专项体检</w:t>
      </w:r>
      <w:r>
        <w:rPr>
          <w:rFonts w:hint="eastAsia" w:ascii="Times New Roman" w:hAnsi="Times New Roman" w:eastAsia="仿宋_GB2312" w:cs="Times New Roman"/>
          <w:bCs/>
          <w:iCs/>
          <w:spacing w:val="-2"/>
          <w:sz w:val="32"/>
          <w:szCs w:val="32"/>
          <w:lang w:bidi="zh-CN"/>
        </w:rPr>
        <w:t>，综合考虑</w:t>
      </w:r>
      <w:r>
        <w:rPr>
          <w:rFonts w:hint="default" w:ascii="Times New Roman" w:hAnsi="Times New Roman" w:eastAsia="仿宋_GB2312" w:cs="Times New Roman"/>
          <w:bCs/>
          <w:iCs/>
          <w:spacing w:val="-2"/>
          <w:sz w:val="32"/>
          <w:szCs w:val="32"/>
          <w:lang w:bidi="zh-CN"/>
        </w:rPr>
        <w:t>拆除新建、整治提升、拆整结合</w:t>
      </w:r>
      <w:r>
        <w:rPr>
          <w:rFonts w:hint="eastAsia" w:ascii="Times New Roman" w:hAnsi="Times New Roman" w:eastAsia="仿宋_GB2312" w:cs="Times New Roman"/>
          <w:bCs/>
          <w:iCs/>
          <w:spacing w:val="-2"/>
          <w:sz w:val="32"/>
          <w:szCs w:val="32"/>
          <w:lang w:bidi="zh-CN"/>
        </w:rPr>
        <w:t>等</w:t>
      </w:r>
      <w:r>
        <w:rPr>
          <w:rFonts w:hint="default" w:ascii="Times New Roman" w:hAnsi="Times New Roman" w:eastAsia="仿宋_GB2312" w:cs="Times New Roman"/>
          <w:bCs/>
          <w:iCs/>
          <w:spacing w:val="-2"/>
          <w:sz w:val="32"/>
          <w:szCs w:val="32"/>
          <w:lang w:bidi="zh-CN"/>
        </w:rPr>
        <w:t>三类改造方式，制定城中村改造计划</w:t>
      </w:r>
      <w:r>
        <w:rPr>
          <w:rFonts w:hint="default" w:ascii="Times New Roman" w:hAnsi="Times New Roman" w:eastAsia="仿宋_GB2312" w:cs="Times New Roman"/>
          <w:bCs/>
          <w:iCs/>
          <w:spacing w:val="-2"/>
          <w:sz w:val="32"/>
          <w:szCs w:val="32"/>
          <w:lang w:val="zh-CN" w:bidi="zh-CN"/>
        </w:rPr>
        <w:t>。</w:t>
      </w:r>
    </w:p>
    <w:p w14:paraId="50ADEC53">
      <w:pPr>
        <w:pageBreakBefore w:val="0"/>
        <w:widowControl w:val="0"/>
        <w:kinsoku/>
        <w:wordWrap/>
        <w:overflowPunct/>
        <w:topLinePunct w:val="0"/>
        <w:autoSpaceDE/>
        <w:autoSpaceDN/>
        <w:bidi w:val="0"/>
        <w:adjustRightInd/>
        <w:snapToGrid/>
        <w:spacing w:line="540" w:lineRule="exact"/>
        <w:ind w:firstLine="635" w:firstLineChars="200"/>
        <w:textAlignment w:val="auto"/>
        <w:rPr>
          <w:rFonts w:hint="default" w:ascii="Times New Roman" w:hAnsi="Times New Roman" w:eastAsia="仿宋_GB2312" w:cs="Times New Roman"/>
          <w:bCs/>
          <w:iCs/>
          <w:spacing w:val="-2"/>
          <w:sz w:val="32"/>
          <w:szCs w:val="32"/>
          <w:highlight w:val="none"/>
          <w:lang w:bidi="zh-CN"/>
        </w:rPr>
      </w:pPr>
      <w:r>
        <w:rPr>
          <w:rFonts w:hint="default" w:ascii="Times New Roman" w:hAnsi="Times New Roman" w:eastAsia="仿宋_GB2312" w:cs="Times New Roman"/>
          <w:b/>
          <w:iCs/>
          <w:spacing w:val="-2"/>
          <w:sz w:val="32"/>
          <w:szCs w:val="32"/>
          <w:highlight w:val="none"/>
          <w:lang w:val="en-US" w:bidi="zh-CN"/>
        </w:rPr>
        <w:t xml:space="preserve">7 </w:t>
      </w:r>
      <w:r>
        <w:rPr>
          <w:rFonts w:hint="default" w:ascii="Times New Roman" w:hAnsi="Times New Roman" w:eastAsia="仿宋_GB2312" w:cs="Times New Roman"/>
          <w:b/>
          <w:iCs/>
          <w:spacing w:val="-2"/>
          <w:sz w:val="32"/>
          <w:szCs w:val="32"/>
          <w:highlight w:val="none"/>
          <w:lang w:bidi="zh-CN"/>
        </w:rPr>
        <w:t>海绵城市专项体检。</w:t>
      </w:r>
      <w:r>
        <w:rPr>
          <w:rFonts w:hint="default" w:ascii="Times New Roman" w:hAnsi="Times New Roman" w:eastAsia="仿宋_GB2312" w:cs="Times New Roman"/>
          <w:bCs/>
          <w:iCs/>
          <w:spacing w:val="-2"/>
          <w:sz w:val="32"/>
          <w:szCs w:val="32"/>
          <w:highlight w:val="none"/>
          <w:lang w:bidi="zh-CN"/>
        </w:rPr>
        <w:t>围绕海绵城市内涝防治、径流污染控制、雨水收集利用、水环境生态改善等建设目标开展专项体检，识别海绵城市“渗、蓄、滞、净、用、排”六大建设要点的短板，提出针对性策略建议，形成海绵城市专项体检报告。</w:t>
      </w:r>
    </w:p>
    <w:p w14:paraId="7BF1C41B">
      <w:pPr>
        <w:pageBreakBefore w:val="0"/>
        <w:widowControl w:val="0"/>
        <w:kinsoku/>
        <w:wordWrap/>
        <w:overflowPunct/>
        <w:topLinePunct w:val="0"/>
        <w:autoSpaceDE/>
        <w:autoSpaceDN/>
        <w:bidi w:val="0"/>
        <w:adjustRightInd/>
        <w:snapToGrid/>
        <w:spacing w:line="540" w:lineRule="exact"/>
        <w:ind w:firstLine="635" w:firstLineChars="200"/>
        <w:textAlignment w:val="auto"/>
        <w:rPr>
          <w:rFonts w:hint="default" w:ascii="Times New Roman" w:hAnsi="Times New Roman" w:eastAsia="仿宋_GB2312" w:cs="Times New Roman"/>
          <w:b/>
          <w:iCs/>
          <w:spacing w:val="-2"/>
          <w:sz w:val="32"/>
          <w:szCs w:val="32"/>
          <w:lang w:val="zh-CN" w:bidi="zh-CN"/>
        </w:rPr>
      </w:pPr>
      <w:r>
        <w:rPr>
          <w:rFonts w:hint="default" w:ascii="Times New Roman" w:hAnsi="Times New Roman" w:eastAsia="仿宋_GB2312" w:cs="Times New Roman"/>
          <w:b/>
          <w:iCs/>
          <w:spacing w:val="-2"/>
          <w:sz w:val="32"/>
          <w:szCs w:val="32"/>
          <w:lang w:val="en-US" w:bidi="zh-CN"/>
        </w:rPr>
        <w:t xml:space="preserve">8 </w:t>
      </w:r>
      <w:r>
        <w:rPr>
          <w:rFonts w:hint="default" w:ascii="Times New Roman" w:hAnsi="Times New Roman" w:eastAsia="仿宋_GB2312" w:cs="Times New Roman"/>
          <w:b/>
          <w:iCs/>
          <w:spacing w:val="-2"/>
          <w:sz w:val="32"/>
          <w:szCs w:val="32"/>
          <w:lang w:val="zh-CN" w:bidi="zh-CN"/>
        </w:rPr>
        <w:t>其他领域或特色类专项体检。</w:t>
      </w:r>
      <w:r>
        <w:rPr>
          <w:rFonts w:hint="default" w:ascii="Times New Roman" w:hAnsi="Times New Roman" w:eastAsia="仿宋_GB2312" w:cs="Times New Roman"/>
          <w:bCs/>
          <w:iCs/>
          <w:spacing w:val="-2"/>
          <w:sz w:val="32"/>
          <w:szCs w:val="32"/>
          <w:lang w:bidi="zh-CN"/>
        </w:rPr>
        <w:t>针对</w:t>
      </w:r>
      <w:r>
        <w:rPr>
          <w:rFonts w:hint="default" w:ascii="Times New Roman" w:hAnsi="Times New Roman" w:eastAsia="仿宋_GB2312" w:cs="Times New Roman"/>
          <w:bCs/>
          <w:iCs/>
          <w:spacing w:val="-2"/>
          <w:sz w:val="32"/>
          <w:szCs w:val="32"/>
          <w:lang w:val="zh-CN" w:bidi="zh-CN"/>
        </w:rPr>
        <w:t>城市发展阶段和发展特点，</w:t>
      </w:r>
      <w:r>
        <w:rPr>
          <w:rFonts w:hint="default" w:ascii="Times New Roman" w:hAnsi="Times New Roman" w:eastAsia="仿宋_GB2312" w:cs="Times New Roman"/>
          <w:bCs/>
          <w:iCs/>
          <w:spacing w:val="-2"/>
          <w:sz w:val="32"/>
          <w:szCs w:val="32"/>
          <w:lang w:bidi="zh-CN"/>
        </w:rPr>
        <w:t>围绕</w:t>
      </w:r>
      <w:r>
        <w:rPr>
          <w:rFonts w:hint="default" w:ascii="Times New Roman" w:hAnsi="Times New Roman" w:eastAsia="仿宋_GB2312" w:cs="Times New Roman"/>
          <w:bCs/>
          <w:iCs/>
          <w:spacing w:val="-2"/>
          <w:sz w:val="32"/>
          <w:szCs w:val="32"/>
          <w:lang w:val="zh-CN" w:bidi="zh-CN"/>
        </w:rPr>
        <w:t>重点领域或地方特色开展城市专项体检，提出</w:t>
      </w:r>
      <w:r>
        <w:rPr>
          <w:rFonts w:hint="default" w:ascii="Times New Roman" w:hAnsi="Times New Roman" w:eastAsia="仿宋_GB2312" w:cs="Times New Roman"/>
          <w:bCs/>
          <w:iCs/>
          <w:spacing w:val="-2"/>
          <w:sz w:val="32"/>
          <w:szCs w:val="32"/>
          <w:lang w:bidi="zh-CN"/>
        </w:rPr>
        <w:t>对策建议</w:t>
      </w:r>
      <w:r>
        <w:rPr>
          <w:rFonts w:hint="default" w:ascii="Times New Roman" w:hAnsi="Times New Roman" w:eastAsia="仿宋_GB2312" w:cs="Times New Roman"/>
          <w:bCs/>
          <w:iCs/>
          <w:spacing w:val="-2"/>
          <w:sz w:val="32"/>
          <w:szCs w:val="32"/>
          <w:lang w:val="zh-CN" w:bidi="zh-CN"/>
        </w:rPr>
        <w:t>，形成城市专项体检报告。</w:t>
      </w:r>
    </w:p>
    <w:p w14:paraId="589CA30C">
      <w:pPr>
        <w:pStyle w:val="5"/>
        <w:pageBreakBefore w:val="0"/>
        <w:widowControl w:val="0"/>
        <w:numPr>
          <w:ilvl w:val="0"/>
          <w:numId w:val="5"/>
        </w:numPr>
        <w:kinsoku/>
        <w:wordWrap/>
        <w:overflowPunct/>
        <w:topLinePunct w:val="0"/>
        <w:autoSpaceDE/>
        <w:autoSpaceDN/>
        <w:bidi w:val="0"/>
        <w:adjustRightInd/>
        <w:snapToGrid/>
        <w:spacing w:before="0" w:beforeLines="0" w:after="0" w:afterLines="0" w:line="540" w:lineRule="exact"/>
        <w:ind w:firstLineChars="0"/>
        <w:textAlignment w:val="auto"/>
        <w:rPr>
          <w:rFonts w:hint="default" w:ascii="Times New Roman" w:hAnsi="Times New Roman" w:eastAsia="仿宋_GB2312" w:cs="Times New Roman"/>
          <w:color w:val="000000"/>
          <w:sz w:val="32"/>
          <w:szCs w:val="32"/>
        </w:rPr>
      </w:pPr>
      <w:bookmarkStart w:id="10" w:name="_Toc1073905908"/>
      <w:r>
        <w:rPr>
          <w:rFonts w:hint="default" w:ascii="Times New Roman" w:hAnsi="Times New Roman" w:eastAsia="仿宋_GB2312" w:cs="Times New Roman"/>
          <w:color w:val="000000"/>
          <w:sz w:val="32"/>
          <w:szCs w:val="32"/>
        </w:rPr>
        <w:t>城市体检范围</w:t>
      </w:r>
      <w:bookmarkEnd w:id="10"/>
    </w:p>
    <w:p w14:paraId="5475B3A6">
      <w:pPr>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iCs/>
          <w:spacing w:val="-2"/>
          <w:sz w:val="32"/>
          <w:szCs w:val="32"/>
          <w:lang w:val="zh-CN" w:bidi="zh-CN"/>
        </w:rPr>
        <w:t>城市体检范围是指综合考虑城市形态、建成区域的主次（主副）关系、行政管辖关系等因素，并结合区、街道办事处、社区等行政管理因素，在城市建设实体地域基础上确定的城市建成区范围。其中，城市建成区是指城市市辖区范围内，实际已开发建设并集中连片、基本具备基础设施和服务设施的地区，具体包括：（1）市本级街道办事处所辖地域；（2）市本级城市公共设施、居住设施和市政公用设施等连接到的其他镇（乡）地域；（3）市本级常住人口在3000人以上独立的工矿区、开发区、科研单位、大专院校等特殊区域。各地可在城市建成区基础上结合最小社会管理单元（社区）或行政村边界对城市体检范围进行统筹划定。</w:t>
      </w:r>
    </w:p>
    <w:p w14:paraId="221F0364">
      <w:pPr>
        <w:pStyle w:val="4"/>
        <w:pageBreakBefore w:val="0"/>
        <w:widowControl w:val="0"/>
        <w:numPr>
          <w:ilvl w:val="0"/>
          <w:numId w:val="3"/>
        </w:numPr>
        <w:kinsoku/>
        <w:wordWrap/>
        <w:overflowPunct/>
        <w:topLinePunct w:val="0"/>
        <w:autoSpaceDE/>
        <w:autoSpaceDN/>
        <w:bidi w:val="0"/>
        <w:adjustRightInd/>
        <w:snapToGrid/>
        <w:spacing w:before="0" w:after="0" w:line="540" w:lineRule="exact"/>
        <w:jc w:val="both"/>
        <w:textAlignment w:val="auto"/>
        <w:rPr>
          <w:rFonts w:hint="default" w:ascii="Times New Roman" w:hAnsi="Times New Roman" w:eastAsia="仿宋_GB2312" w:cs="Times New Roman"/>
          <w:sz w:val="32"/>
          <w:szCs w:val="32"/>
        </w:rPr>
      </w:pPr>
      <w:bookmarkStart w:id="11" w:name="_Toc1992231628"/>
      <w:r>
        <w:rPr>
          <w:rFonts w:hint="default" w:ascii="Times New Roman" w:hAnsi="Times New Roman" w:eastAsia="仿宋_GB2312" w:cs="Times New Roman"/>
          <w:color w:val="000000"/>
          <w:sz w:val="32"/>
          <w:szCs w:val="32"/>
        </w:rPr>
        <w:t>城市体检内容与技术要点</w:t>
      </w:r>
      <w:bookmarkEnd w:id="11"/>
    </w:p>
    <w:p w14:paraId="43BC9935">
      <w:pPr>
        <w:pStyle w:val="5"/>
        <w:pageBreakBefore w:val="0"/>
        <w:widowControl w:val="0"/>
        <w:numPr>
          <w:ilvl w:val="0"/>
          <w:numId w:val="6"/>
        </w:numPr>
        <w:kinsoku/>
        <w:wordWrap/>
        <w:overflowPunct/>
        <w:topLinePunct w:val="0"/>
        <w:autoSpaceDE/>
        <w:autoSpaceDN/>
        <w:bidi w:val="0"/>
        <w:adjustRightInd/>
        <w:snapToGrid/>
        <w:spacing w:before="0" w:beforeLines="0" w:after="0" w:afterLines="0" w:line="540" w:lineRule="exact"/>
        <w:ind w:firstLineChars="0"/>
        <w:textAlignment w:val="auto"/>
        <w:rPr>
          <w:rFonts w:hint="default" w:ascii="Times New Roman" w:hAnsi="Times New Roman" w:eastAsia="仿宋_GB2312" w:cs="Times New Roman"/>
          <w:color w:val="000000"/>
          <w:sz w:val="32"/>
          <w:szCs w:val="32"/>
        </w:rPr>
      </w:pPr>
      <w:bookmarkStart w:id="12" w:name="_Toc1564763931"/>
      <w:r>
        <w:rPr>
          <w:rFonts w:hint="default" w:ascii="Times New Roman" w:hAnsi="Times New Roman" w:eastAsia="仿宋_GB2312" w:cs="Times New Roman"/>
          <w:color w:val="000000"/>
          <w:sz w:val="32"/>
          <w:szCs w:val="32"/>
        </w:rPr>
        <w:t>指标体系构建</w:t>
      </w:r>
      <w:bookmarkEnd w:id="12"/>
    </w:p>
    <w:p w14:paraId="572B3F64">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城市体检基础指标体系应包括住建部城市体检基础指标（附录A）、福建省城市体检基础指标（附录B）与地方城市体检基础/特色指标。其中，省住建厅将适时根据住建部与我省住房和城乡建设工作需要对附录B具体指标项进行动态调整，各地可根据实际需要新增基础/特色指标，最终形成本年度城市体检指标体系。</w:t>
      </w:r>
    </w:p>
    <w:p w14:paraId="0C00BC7D">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原则上，各地城市自体检、城市第三方体检指标体系应包含住建部、福建省城市体检基础指标。因实际情况确需调整指标的，</w:t>
      </w:r>
      <w:r>
        <w:rPr>
          <w:rFonts w:hint="default" w:ascii="Times New Roman" w:hAnsi="Times New Roman" w:eastAsia="仿宋_GB2312" w:cs="Times New Roman"/>
          <w:iCs/>
          <w:sz w:val="32"/>
          <w:szCs w:val="32"/>
        </w:rPr>
        <w:t>调整数量不应超过总指标数的10%。</w:t>
      </w:r>
      <w:r>
        <w:rPr>
          <w:rFonts w:hint="default" w:ascii="Times New Roman" w:hAnsi="Times New Roman" w:eastAsia="仿宋_GB2312" w:cs="Times New Roman"/>
          <w:iCs/>
          <w:color w:val="000000"/>
          <w:sz w:val="32"/>
          <w:szCs w:val="32"/>
        </w:rPr>
        <w:t>指标优化调整与新增原则如下：</w:t>
      </w:r>
    </w:p>
    <w:p w14:paraId="7325DFF3">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b/>
          <w:bCs/>
          <w:iCs/>
          <w:color w:val="000000"/>
          <w:sz w:val="32"/>
          <w:szCs w:val="32"/>
        </w:rPr>
        <w:t>符合政策导向要求。</w:t>
      </w:r>
      <w:r>
        <w:rPr>
          <w:rFonts w:hint="default" w:ascii="Times New Roman" w:hAnsi="Times New Roman" w:eastAsia="仿宋_GB2312" w:cs="Times New Roman"/>
          <w:iCs/>
          <w:color w:val="000000"/>
          <w:sz w:val="32"/>
          <w:szCs w:val="32"/>
        </w:rPr>
        <w:t>将绿色低碳发展、城乡风貌整治提升、城市更新等作为城市体检工作导向，及时落实住建部与我省年度城市体检工作。城市体检指标的选取应符合国家、省政府政策导向，符合未来发展、规划导向。</w:t>
      </w:r>
    </w:p>
    <w:p w14:paraId="3527714E">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b/>
          <w:bCs/>
          <w:iCs/>
          <w:color w:val="000000"/>
          <w:sz w:val="32"/>
          <w:szCs w:val="32"/>
        </w:rPr>
        <w:t>指标代表性与实操性强。</w:t>
      </w:r>
      <w:r>
        <w:rPr>
          <w:rFonts w:hint="default" w:ascii="Times New Roman" w:hAnsi="Times New Roman" w:eastAsia="仿宋_GB2312" w:cs="Times New Roman"/>
          <w:iCs/>
          <w:color w:val="000000"/>
          <w:sz w:val="32"/>
          <w:szCs w:val="32"/>
        </w:rPr>
        <w:t>指标可反映体检核心内容，如城市宜居性、健康舒适度、开放包容性等；指标直观可衡量，优先考虑以百分比形式设置指标，利于后续的实施操作；充分考虑指标的可获取性，避免指标设计与后续指标数据收集过程脱节，造成无效工作。</w:t>
      </w:r>
    </w:p>
    <w:p w14:paraId="728E4C60">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b/>
          <w:bCs/>
          <w:iCs/>
          <w:color w:val="000000"/>
          <w:sz w:val="32"/>
          <w:szCs w:val="32"/>
        </w:rPr>
        <w:t>兼顾城市特色与发展需求。</w:t>
      </w:r>
      <w:r>
        <w:rPr>
          <w:rFonts w:hint="default" w:ascii="Times New Roman" w:hAnsi="Times New Roman" w:eastAsia="仿宋_GB2312" w:cs="Times New Roman"/>
          <w:iCs/>
          <w:color w:val="000000"/>
          <w:sz w:val="32"/>
          <w:szCs w:val="32"/>
        </w:rPr>
        <w:t>指标选取应符合我省及所在城市特点，同时应符合城市发展阶段性需求和反映城市突出问题。</w:t>
      </w:r>
    </w:p>
    <w:p w14:paraId="54C278AD">
      <w:pPr>
        <w:pStyle w:val="5"/>
        <w:pageBreakBefore w:val="0"/>
        <w:widowControl w:val="0"/>
        <w:numPr>
          <w:ilvl w:val="0"/>
          <w:numId w:val="6"/>
        </w:numPr>
        <w:kinsoku/>
        <w:wordWrap/>
        <w:overflowPunct/>
        <w:topLinePunct w:val="0"/>
        <w:autoSpaceDE/>
        <w:autoSpaceDN/>
        <w:bidi w:val="0"/>
        <w:adjustRightInd/>
        <w:snapToGrid/>
        <w:spacing w:before="0" w:beforeLines="0" w:after="0" w:afterLines="0" w:line="540" w:lineRule="exact"/>
        <w:ind w:firstLineChars="0"/>
        <w:textAlignment w:val="auto"/>
        <w:rPr>
          <w:rFonts w:hint="default" w:ascii="Times New Roman" w:hAnsi="Times New Roman" w:eastAsia="仿宋_GB2312" w:cs="Times New Roman"/>
          <w:color w:val="000000"/>
          <w:sz w:val="32"/>
          <w:szCs w:val="32"/>
        </w:rPr>
      </w:pPr>
      <w:bookmarkStart w:id="13" w:name="_Toc1929106790"/>
      <w:r>
        <w:rPr>
          <w:rFonts w:hint="default" w:ascii="Times New Roman" w:hAnsi="Times New Roman" w:eastAsia="仿宋_GB2312" w:cs="Times New Roman"/>
          <w:color w:val="000000"/>
          <w:sz w:val="32"/>
          <w:szCs w:val="32"/>
        </w:rPr>
        <w:t>指标评价方法</w:t>
      </w:r>
      <w:bookmarkEnd w:id="13"/>
    </w:p>
    <w:p w14:paraId="0F344556">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注重“四个对标”，识别城市问题与短板，提出对策建议。</w:t>
      </w:r>
    </w:p>
    <w:p w14:paraId="3A627E5A">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b/>
          <w:iCs/>
          <w:color w:val="000000"/>
          <w:sz w:val="32"/>
          <w:szCs w:val="32"/>
        </w:rPr>
        <w:t>对标标准规范。</w:t>
      </w:r>
      <w:r>
        <w:rPr>
          <w:rFonts w:hint="default" w:ascii="Times New Roman" w:hAnsi="Times New Roman" w:eastAsia="仿宋_GB2312" w:cs="Times New Roman"/>
          <w:iCs/>
          <w:color w:val="000000"/>
          <w:sz w:val="32"/>
          <w:szCs w:val="32"/>
        </w:rPr>
        <w:t>注重对标国际、国家或地方规范标准等，定量评估各项指标的达标情况。</w:t>
      </w:r>
    </w:p>
    <w:p w14:paraId="09B4DA17">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b/>
          <w:iCs/>
          <w:color w:val="000000"/>
          <w:sz w:val="32"/>
          <w:szCs w:val="32"/>
        </w:rPr>
        <w:t>对标规划目标。</w:t>
      </w:r>
      <w:r>
        <w:rPr>
          <w:rFonts w:hint="default" w:ascii="Times New Roman" w:hAnsi="Times New Roman" w:eastAsia="仿宋_GB2312" w:cs="Times New Roman"/>
          <w:iCs/>
          <w:color w:val="000000"/>
          <w:sz w:val="32"/>
          <w:szCs w:val="32"/>
        </w:rPr>
        <w:t>参考城市规划目标、上位政策要求或地方工作目标等，判断目标完成情况及其与指标数据的差距，同时注重结合历史数据开展趋势研判。</w:t>
      </w:r>
    </w:p>
    <w:p w14:paraId="6DB35AC7">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b/>
          <w:iCs/>
          <w:color w:val="000000"/>
          <w:sz w:val="32"/>
          <w:szCs w:val="32"/>
        </w:rPr>
        <w:t>对标兄弟城市。</w:t>
      </w:r>
      <w:r>
        <w:rPr>
          <w:rFonts w:hint="default" w:ascii="Times New Roman" w:hAnsi="Times New Roman" w:eastAsia="仿宋_GB2312" w:cs="Times New Roman"/>
          <w:iCs/>
          <w:color w:val="000000"/>
          <w:sz w:val="32"/>
          <w:szCs w:val="32"/>
        </w:rPr>
        <w:t>注重与发展阶段、资源禀赋特点、城市规模等类似城市的横向对比，识别差距，提出缩小差距或跨越赶超的对策建议。</w:t>
      </w:r>
    </w:p>
    <w:p w14:paraId="3C89EE88">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b/>
          <w:iCs/>
          <w:color w:val="000000"/>
          <w:sz w:val="32"/>
          <w:szCs w:val="32"/>
        </w:rPr>
        <w:t>对标人民需求。</w:t>
      </w:r>
      <w:r>
        <w:rPr>
          <w:rFonts w:hint="default" w:ascii="Times New Roman" w:hAnsi="Times New Roman" w:eastAsia="仿宋_GB2312" w:cs="Times New Roman"/>
          <w:iCs/>
          <w:color w:val="000000"/>
          <w:sz w:val="32"/>
          <w:szCs w:val="32"/>
        </w:rPr>
        <w:t>结合社会满意度调查结果，梳理群众普遍反映的问题，并提出对应举措。</w:t>
      </w:r>
    </w:p>
    <w:p w14:paraId="36E3F12C">
      <w:pPr>
        <w:pStyle w:val="5"/>
        <w:pageBreakBefore w:val="0"/>
        <w:widowControl w:val="0"/>
        <w:numPr>
          <w:ilvl w:val="0"/>
          <w:numId w:val="6"/>
        </w:numPr>
        <w:kinsoku/>
        <w:wordWrap/>
        <w:overflowPunct/>
        <w:topLinePunct w:val="0"/>
        <w:autoSpaceDE/>
        <w:autoSpaceDN/>
        <w:bidi w:val="0"/>
        <w:adjustRightInd/>
        <w:snapToGrid/>
        <w:spacing w:before="0" w:beforeLines="0" w:after="0" w:afterLines="0" w:line="540" w:lineRule="exact"/>
        <w:ind w:firstLineChars="0"/>
        <w:textAlignment w:val="auto"/>
        <w:rPr>
          <w:rFonts w:hint="default" w:ascii="Times New Roman" w:hAnsi="Times New Roman" w:eastAsia="仿宋_GB2312" w:cs="Times New Roman"/>
          <w:color w:val="000000"/>
          <w:sz w:val="32"/>
          <w:szCs w:val="32"/>
        </w:rPr>
      </w:pPr>
      <w:bookmarkStart w:id="14" w:name="_Toc143799731"/>
      <w:bookmarkEnd w:id="14"/>
      <w:bookmarkStart w:id="15" w:name="_Toc357048001"/>
      <w:r>
        <w:rPr>
          <w:rFonts w:hint="default" w:ascii="Times New Roman" w:hAnsi="Times New Roman" w:eastAsia="仿宋_GB2312" w:cs="Times New Roman"/>
          <w:color w:val="000000"/>
          <w:sz w:val="32"/>
          <w:szCs w:val="32"/>
        </w:rPr>
        <w:t>体检成果转化</w:t>
      </w:r>
      <w:bookmarkEnd w:id="15"/>
    </w:p>
    <w:p w14:paraId="35D5B000">
      <w:pPr>
        <w:pStyle w:val="51"/>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lang w:val="en-US" w:eastAsia="zh-CN"/>
        </w:rPr>
        <w:t xml:space="preserve">1 </w:t>
      </w:r>
      <w:r>
        <w:rPr>
          <w:rFonts w:hint="default" w:ascii="Times New Roman" w:hAnsi="Times New Roman" w:eastAsia="仿宋_GB2312" w:cs="Times New Roman"/>
          <w:b/>
          <w:iCs/>
          <w:color w:val="000000"/>
          <w:sz w:val="32"/>
          <w:szCs w:val="32"/>
        </w:rPr>
        <w:t>以城市体检推动城市更新工作</w:t>
      </w:r>
    </w:p>
    <w:p w14:paraId="044B3212">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将城市体检作为城市更新的前置工作，综合应用城市体检成果生成“一表三单”与更新治理建议，即城市体检指标分析诊断表、城市优势清单、城市短板清单、城市问题清单、城市治理行动与更新指引，指导编制城市更新专项规划，生成城市更新项目库，建立“体检发现问题、更新</w:t>
      </w:r>
      <w:r>
        <w:rPr>
          <w:rFonts w:hint="eastAsia" w:ascii="Times New Roman" w:hAnsi="Times New Roman" w:eastAsia="仿宋_GB2312" w:cs="Times New Roman"/>
          <w:iCs/>
          <w:color w:val="000000"/>
          <w:sz w:val="32"/>
          <w:szCs w:val="32"/>
          <w:lang w:eastAsia="zh-CN"/>
        </w:rPr>
        <w:t>解决</w:t>
      </w:r>
      <w:r>
        <w:rPr>
          <w:rFonts w:hint="default" w:ascii="Times New Roman" w:hAnsi="Times New Roman" w:eastAsia="仿宋_GB2312" w:cs="Times New Roman"/>
          <w:iCs/>
          <w:color w:val="000000"/>
          <w:sz w:val="32"/>
          <w:szCs w:val="32"/>
        </w:rPr>
        <w:t>问题”的联动工作机制。主动将城市体检成果与城市更新和建设品质提升工作相衔接，形成查问题与提品质紧密联动的工作闭环。</w:t>
      </w:r>
    </w:p>
    <w:p w14:paraId="7B82E16D">
      <w:pPr>
        <w:pStyle w:val="51"/>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lang w:val="en-US" w:eastAsia="zh-CN"/>
        </w:rPr>
        <w:t xml:space="preserve">2 </w:t>
      </w:r>
      <w:r>
        <w:rPr>
          <w:rFonts w:hint="default" w:ascii="Times New Roman" w:hAnsi="Times New Roman" w:eastAsia="仿宋_GB2312" w:cs="Times New Roman"/>
          <w:b/>
          <w:iCs/>
          <w:color w:val="000000"/>
          <w:sz w:val="32"/>
          <w:szCs w:val="32"/>
        </w:rPr>
        <w:t>以城市体检推动完整社区建设与老旧小区改造</w:t>
      </w:r>
    </w:p>
    <w:p w14:paraId="18A8ED56">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将城市体检指标体系与完整社区建设评价标准相衔接，积极开展以社区为基本单元的体检评估工作。顺应居民对美好环境的需要，结合社区体检评估结果针对性生成道路、安防、停车充电、无障碍等基础设施改造与公共活动场地、公共绿地建设项目清单，推动社区适老化、适儿化改造，营造全龄友好、安全健康的社区生活环境。</w:t>
      </w:r>
    </w:p>
    <w:p w14:paraId="14BF6035">
      <w:pPr>
        <w:pStyle w:val="51"/>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lang w:val="en-US" w:eastAsia="zh-CN"/>
        </w:rPr>
        <w:t xml:space="preserve">3 </w:t>
      </w:r>
      <w:r>
        <w:rPr>
          <w:rFonts w:hint="default" w:ascii="Times New Roman" w:hAnsi="Times New Roman" w:eastAsia="仿宋_GB2312" w:cs="Times New Roman"/>
          <w:b/>
          <w:iCs/>
          <w:color w:val="000000"/>
          <w:sz w:val="32"/>
          <w:szCs w:val="32"/>
        </w:rPr>
        <w:t>以城市体检指导城市治理工作</w:t>
      </w:r>
    </w:p>
    <w:p w14:paraId="4C952DB0">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以城市体检为手段，定期进行检查评估，以年度为单位确保各项规划目标和重点任务落实情况的监督检查，确保工作落实成效。根据城市体检评估情况，对城市建设任务清单和重点工作进行动态调整，逐年滚动编制和实施，形成时间相互衔接、任务层层推进的总体工作布局。</w:t>
      </w:r>
    </w:p>
    <w:p w14:paraId="69AC1C4E">
      <w:pPr>
        <w:pStyle w:val="4"/>
        <w:pageBreakBefore w:val="0"/>
        <w:widowControl w:val="0"/>
        <w:numPr>
          <w:ilvl w:val="0"/>
          <w:numId w:val="3"/>
        </w:numPr>
        <w:kinsoku/>
        <w:wordWrap/>
        <w:overflowPunct/>
        <w:topLinePunct w:val="0"/>
        <w:autoSpaceDE/>
        <w:autoSpaceDN/>
        <w:bidi w:val="0"/>
        <w:adjustRightInd/>
        <w:snapToGrid/>
        <w:spacing w:before="0" w:after="0" w:line="540" w:lineRule="exact"/>
        <w:jc w:val="both"/>
        <w:textAlignment w:val="auto"/>
        <w:rPr>
          <w:rFonts w:hint="default" w:ascii="Times New Roman" w:hAnsi="Times New Roman" w:eastAsia="仿宋_GB2312" w:cs="Times New Roman"/>
          <w:color w:val="000000"/>
          <w:sz w:val="32"/>
          <w:szCs w:val="32"/>
        </w:rPr>
      </w:pPr>
      <w:bookmarkStart w:id="16" w:name="_Toc308660500"/>
      <w:r>
        <w:rPr>
          <w:rFonts w:hint="default" w:ascii="Times New Roman" w:hAnsi="Times New Roman" w:eastAsia="仿宋_GB2312" w:cs="Times New Roman"/>
          <w:color w:val="000000"/>
          <w:sz w:val="32"/>
          <w:szCs w:val="32"/>
        </w:rPr>
        <w:t>城市体检成果与提交形式</w:t>
      </w:r>
      <w:bookmarkEnd w:id="16"/>
      <w:bookmarkStart w:id="17" w:name="_Hlk138699448"/>
    </w:p>
    <w:bookmarkEnd w:id="17"/>
    <w:p w14:paraId="65684E51">
      <w:pPr>
        <w:pStyle w:val="5"/>
        <w:pageBreakBefore w:val="0"/>
        <w:widowControl w:val="0"/>
        <w:numPr>
          <w:ilvl w:val="0"/>
          <w:numId w:val="7"/>
        </w:numPr>
        <w:kinsoku/>
        <w:wordWrap/>
        <w:overflowPunct/>
        <w:topLinePunct w:val="0"/>
        <w:autoSpaceDE/>
        <w:autoSpaceDN/>
        <w:bidi w:val="0"/>
        <w:adjustRightInd/>
        <w:snapToGrid/>
        <w:spacing w:before="0" w:beforeLines="0" w:after="0" w:afterLines="0" w:line="540" w:lineRule="exact"/>
        <w:ind w:firstLineChars="0"/>
        <w:textAlignment w:val="auto"/>
        <w:rPr>
          <w:rFonts w:hint="default" w:ascii="Times New Roman" w:hAnsi="Times New Roman" w:eastAsia="仿宋_GB2312" w:cs="Times New Roman"/>
          <w:color w:val="000000"/>
          <w:sz w:val="32"/>
          <w:szCs w:val="32"/>
        </w:rPr>
      </w:pPr>
      <w:bookmarkStart w:id="18" w:name="_Toc318981766"/>
      <w:r>
        <w:rPr>
          <w:rFonts w:hint="default" w:ascii="Times New Roman" w:hAnsi="Times New Roman" w:eastAsia="仿宋_GB2312" w:cs="Times New Roman"/>
          <w:color w:val="000000"/>
          <w:sz w:val="32"/>
          <w:szCs w:val="32"/>
        </w:rPr>
        <w:t>体检成果</w:t>
      </w:r>
      <w:bookmarkEnd w:id="18"/>
    </w:p>
    <w:p w14:paraId="14809B81">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城市体检工作成果包括</w:t>
      </w:r>
      <w:r>
        <w:rPr>
          <w:rFonts w:hint="default" w:ascii="Times New Roman" w:hAnsi="Times New Roman" w:eastAsia="仿宋_GB2312" w:cs="Times New Roman"/>
          <w:b/>
          <w:bCs/>
          <w:iCs/>
          <w:color w:val="000000"/>
          <w:sz w:val="32"/>
          <w:szCs w:val="32"/>
        </w:rPr>
        <w:t>“一表一图一库一报告”</w:t>
      </w:r>
      <w:r>
        <w:rPr>
          <w:rFonts w:hint="default" w:ascii="Times New Roman" w:hAnsi="Times New Roman" w:eastAsia="仿宋_GB2312" w:cs="Times New Roman"/>
          <w:iCs/>
          <w:color w:val="000000"/>
          <w:sz w:val="32"/>
          <w:szCs w:val="32"/>
        </w:rPr>
        <w:t>。其中：</w:t>
      </w:r>
    </w:p>
    <w:p w14:paraId="26ED3F6C">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b/>
          <w:iCs/>
          <w:color w:val="000000"/>
          <w:sz w:val="32"/>
          <w:szCs w:val="32"/>
        </w:rPr>
        <w:t>“一表”：</w:t>
      </w:r>
      <w:r>
        <w:rPr>
          <w:rFonts w:hint="default" w:ascii="Times New Roman" w:hAnsi="Times New Roman" w:eastAsia="仿宋_GB2312" w:cs="Times New Roman"/>
          <w:iCs/>
          <w:color w:val="000000"/>
          <w:sz w:val="32"/>
          <w:szCs w:val="32"/>
        </w:rPr>
        <w:t>城市体检指标数据结果一览表。反映指标具体情况，采用Excel格式提交。</w:t>
      </w:r>
    </w:p>
    <w:p w14:paraId="69E965C3">
      <w:pPr>
        <w:pStyle w:val="2"/>
        <w:pageBreakBefore w:val="0"/>
        <w:widowControl w:val="0"/>
        <w:kinsoku/>
        <w:wordWrap/>
        <w:overflowPunct/>
        <w:topLinePunct w:val="0"/>
        <w:autoSpaceDE/>
        <w:autoSpaceDN/>
        <w:bidi w:val="0"/>
        <w:adjustRightInd/>
        <w:snapToGrid/>
        <w:spacing w:after="0" w:line="540" w:lineRule="exact"/>
        <w:ind w:left="0" w:leftChars="0" w:firstLine="562"/>
        <w:textAlignment w:val="auto"/>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“一图”：</w:t>
      </w:r>
      <w:r>
        <w:rPr>
          <w:rFonts w:hint="default" w:ascii="Times New Roman" w:hAnsi="Times New Roman" w:eastAsia="仿宋_GB2312" w:cs="Times New Roman"/>
          <w:bCs/>
          <w:iCs/>
          <w:color w:val="000000"/>
          <w:sz w:val="32"/>
          <w:szCs w:val="32"/>
        </w:rPr>
        <w:t>城市体检指标分析评估图集。主要是将城市体检发现的问题通过GIS等平台进行空间精准落位并形成空间分布图。图集内各图纸应规范命名并形成文件夹单独提交，同时嵌入报告文本中作具体说明。</w:t>
      </w:r>
    </w:p>
    <w:p w14:paraId="71B187BE">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iCs/>
          <w:sz w:val="32"/>
          <w:szCs w:val="32"/>
        </w:rPr>
      </w:pPr>
      <w:r>
        <w:rPr>
          <w:rFonts w:hint="default" w:ascii="Times New Roman" w:hAnsi="Times New Roman" w:eastAsia="仿宋_GB2312" w:cs="Times New Roman"/>
          <w:b/>
          <w:iCs/>
          <w:color w:val="000000"/>
          <w:sz w:val="32"/>
          <w:szCs w:val="32"/>
        </w:rPr>
        <w:t>“一库”：</w:t>
      </w:r>
      <w:r>
        <w:rPr>
          <w:rFonts w:hint="default" w:ascii="Times New Roman" w:hAnsi="Times New Roman" w:eastAsia="仿宋_GB2312" w:cs="Times New Roman"/>
          <w:bCs/>
          <w:iCs/>
          <w:color w:val="000000"/>
          <w:sz w:val="32"/>
          <w:szCs w:val="32"/>
        </w:rPr>
        <w:t>城市体检指标分析成果数据库。由</w:t>
      </w:r>
      <w:r>
        <w:rPr>
          <w:rFonts w:hint="default" w:ascii="Times New Roman" w:hAnsi="Times New Roman" w:eastAsia="仿宋_GB2312" w:cs="Times New Roman"/>
          <w:iCs/>
          <w:color w:val="000000"/>
          <w:sz w:val="32"/>
          <w:szCs w:val="32"/>
        </w:rPr>
        <w:t>城市体检指标空间量化分析数据构成，包含基础数据与指标计算所得数据两类。</w:t>
      </w:r>
      <w:r>
        <w:rPr>
          <w:rFonts w:hint="default" w:ascii="Times New Roman" w:hAnsi="Times New Roman" w:eastAsia="仿宋_GB2312" w:cs="Times New Roman"/>
          <w:iCs/>
          <w:sz w:val="32"/>
          <w:szCs w:val="32"/>
        </w:rPr>
        <w:t>数据库应采用gdb格式存储，平面坐标采用“2000国家大地坐标系（CGS2000）”，高程基准采用“1985国家高程基准”。数据库内各项内容应规范命名，提交方式应符合国家有关保密管理规定。</w:t>
      </w:r>
    </w:p>
    <w:p w14:paraId="6AB0BA92">
      <w:pPr>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Cs/>
          <w:iCs/>
          <w:color w:val="000000"/>
          <w:sz w:val="32"/>
          <w:szCs w:val="32"/>
        </w:rPr>
      </w:pPr>
      <w:r>
        <w:rPr>
          <w:rFonts w:hint="default" w:ascii="Times New Roman" w:hAnsi="Times New Roman" w:eastAsia="仿宋_GB2312" w:cs="Times New Roman"/>
          <w:b/>
          <w:iCs/>
          <w:color w:val="000000"/>
          <w:sz w:val="32"/>
          <w:szCs w:val="32"/>
        </w:rPr>
        <w:t>“一报告”：</w:t>
      </w:r>
      <w:r>
        <w:rPr>
          <w:rFonts w:hint="default" w:ascii="Times New Roman" w:hAnsi="Times New Roman" w:eastAsia="仿宋_GB2312" w:cs="Times New Roman"/>
          <w:bCs/>
          <w:iCs/>
          <w:color w:val="000000"/>
          <w:sz w:val="32"/>
          <w:szCs w:val="32"/>
        </w:rPr>
        <w:t>城市体检评估报告。内容应包括城市体检指标体系和计算结果、社会满意度调查主要结论、城市建设发展质量评价（包含工作成效与存在问题）、城市治理对策、行动清单等内容。报告中应以图文并茂的方式阐明城市建设现状情况，针对城市体检发现的问题应形成城市体检指标空间分析图纸或局部问题图集，附录中应包含城市发展优势清单、短板清单与城市更新项目清单等。城市专项体检应单独编制，并提交专项体检报告。</w:t>
      </w:r>
    </w:p>
    <w:p w14:paraId="1D23A0FD">
      <w:pPr>
        <w:pStyle w:val="2"/>
        <w:pageBreakBefore w:val="0"/>
        <w:widowControl w:val="0"/>
        <w:kinsoku/>
        <w:wordWrap/>
        <w:overflowPunct/>
        <w:topLinePunct w:val="0"/>
        <w:autoSpaceDE/>
        <w:autoSpaceDN/>
        <w:bidi w:val="0"/>
        <w:adjustRightInd/>
        <w:snapToGrid/>
        <w:spacing w:after="0" w:line="540" w:lineRule="exact"/>
        <w:ind w:left="0" w:leftChars="0" w:firstLine="560"/>
        <w:textAlignment w:val="auto"/>
        <w:rPr>
          <w:rFonts w:hint="default" w:ascii="Times New Roman" w:hAnsi="Times New Roman" w:eastAsia="仿宋_GB2312" w:cs="Times New Roman"/>
          <w:bCs/>
          <w:iCs/>
          <w:color w:val="000000"/>
          <w:sz w:val="32"/>
          <w:szCs w:val="32"/>
        </w:rPr>
      </w:pPr>
      <w:r>
        <w:rPr>
          <w:rFonts w:hint="default" w:ascii="Times New Roman" w:hAnsi="Times New Roman" w:eastAsia="仿宋_GB2312" w:cs="Times New Roman"/>
          <w:bCs/>
          <w:iCs/>
          <w:color w:val="000000"/>
          <w:sz w:val="32"/>
          <w:szCs w:val="32"/>
        </w:rPr>
        <w:t>年度城市体检报告格式参考附录F。城市自体检工作开展满五年的，在开展本年度城市自体检工作的同时还应根据住建部、省住建厅要求开展五年期城市评估工作并形成相应报告。城市评估工作周期应与国民经济和社会发展规划周期同步。城市第三方体检成果的编制逻辑与城市自体检相同，报告格式参考附录G。</w:t>
      </w:r>
    </w:p>
    <w:p w14:paraId="0E81495A">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iCs/>
          <w:color w:val="000000"/>
          <w:sz w:val="32"/>
          <w:szCs w:val="32"/>
        </w:rPr>
        <w:t>已建立城市体检评估信息平台的城市，应将年度城市自体检指标分析成果汇总至平台。未建立城市体</w:t>
      </w:r>
      <w:r>
        <w:rPr>
          <w:rFonts w:hint="default" w:ascii="Times New Roman" w:hAnsi="Times New Roman" w:eastAsia="仿宋_GB2312" w:cs="Times New Roman"/>
          <w:iCs/>
          <w:sz w:val="32"/>
          <w:szCs w:val="32"/>
        </w:rPr>
        <w:t>检评估信息平台的城市，应根据省住建厅工作部署，加快推进城市体检信息评估平台建设。</w:t>
      </w:r>
    </w:p>
    <w:p w14:paraId="3EB040A8">
      <w:pPr>
        <w:pStyle w:val="5"/>
        <w:pageBreakBefore w:val="0"/>
        <w:widowControl w:val="0"/>
        <w:numPr>
          <w:ilvl w:val="0"/>
          <w:numId w:val="7"/>
        </w:numPr>
        <w:kinsoku/>
        <w:wordWrap/>
        <w:overflowPunct/>
        <w:topLinePunct w:val="0"/>
        <w:autoSpaceDE/>
        <w:autoSpaceDN/>
        <w:bidi w:val="0"/>
        <w:adjustRightInd/>
        <w:snapToGrid/>
        <w:spacing w:before="0" w:beforeLines="0" w:after="0" w:afterLines="0" w:line="540" w:lineRule="exact"/>
        <w:ind w:firstLineChars="0"/>
        <w:textAlignment w:val="auto"/>
        <w:rPr>
          <w:rFonts w:hint="default" w:ascii="Times New Roman" w:hAnsi="Times New Roman" w:eastAsia="仿宋_GB2312" w:cs="Times New Roman"/>
          <w:color w:val="000000"/>
          <w:sz w:val="32"/>
          <w:szCs w:val="32"/>
        </w:rPr>
      </w:pPr>
      <w:bookmarkStart w:id="19" w:name="_Toc1964557727"/>
      <w:r>
        <w:rPr>
          <w:rFonts w:hint="default" w:ascii="Times New Roman" w:hAnsi="Times New Roman" w:eastAsia="仿宋_GB2312" w:cs="Times New Roman"/>
          <w:color w:val="000000"/>
          <w:sz w:val="32"/>
          <w:szCs w:val="32"/>
        </w:rPr>
        <w:t>技术审查</w:t>
      </w:r>
      <w:bookmarkEnd w:id="19"/>
    </w:p>
    <w:p w14:paraId="609874C9">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城市体检主管部门应邀请不少于3位相关领域专家对体检成果进行技术审查并形成专家技术审查意见。主要审查体检成果是否满足</w:t>
      </w:r>
      <w:r>
        <w:rPr>
          <w:rFonts w:hint="default" w:ascii="Times New Roman" w:hAnsi="Times New Roman" w:eastAsia="仿宋_GB2312" w:cs="Times New Roman"/>
          <w:iCs/>
          <w:color w:val="000000"/>
          <w:sz w:val="32"/>
          <w:szCs w:val="32"/>
          <w:lang w:val="zh-CN" w:bidi="zh-CN"/>
        </w:rPr>
        <w:t>本导则</w:t>
      </w:r>
      <w:r>
        <w:rPr>
          <w:rFonts w:hint="default" w:ascii="Times New Roman" w:hAnsi="Times New Roman" w:eastAsia="仿宋_GB2312" w:cs="Times New Roman"/>
          <w:iCs/>
          <w:color w:val="000000"/>
          <w:sz w:val="32"/>
          <w:szCs w:val="32"/>
          <w:lang w:bidi="zh-CN"/>
        </w:rPr>
        <w:t>要求，相关结论是否符合本地实际情况</w:t>
      </w:r>
      <w:r>
        <w:rPr>
          <w:rFonts w:hint="default" w:ascii="Times New Roman" w:hAnsi="Times New Roman" w:eastAsia="仿宋_GB2312" w:cs="Times New Roman"/>
          <w:iCs/>
          <w:color w:val="000000"/>
          <w:sz w:val="32"/>
          <w:szCs w:val="32"/>
        </w:rPr>
        <w:t>，提出的“一表三单”与更新治理建议（城市体检指标分析诊断表、城市优势清单、城市短板清单、城市问题清单、城市治理行动与更新指引）是否有利于城市高质量发展。专家技术审查意见和修改落实情况作为附件纳入体检报告。</w:t>
      </w:r>
    </w:p>
    <w:p w14:paraId="0B02B999">
      <w:pPr>
        <w:pStyle w:val="5"/>
        <w:pageBreakBefore w:val="0"/>
        <w:widowControl w:val="0"/>
        <w:numPr>
          <w:ilvl w:val="0"/>
          <w:numId w:val="7"/>
        </w:numPr>
        <w:kinsoku/>
        <w:wordWrap/>
        <w:overflowPunct/>
        <w:topLinePunct w:val="0"/>
        <w:autoSpaceDE/>
        <w:autoSpaceDN/>
        <w:bidi w:val="0"/>
        <w:adjustRightInd/>
        <w:snapToGrid/>
        <w:spacing w:before="0" w:beforeLines="0" w:after="0" w:afterLines="0" w:line="540" w:lineRule="exact"/>
        <w:ind w:firstLineChars="0"/>
        <w:textAlignment w:val="auto"/>
        <w:rPr>
          <w:rFonts w:hint="default" w:ascii="Times New Roman" w:hAnsi="Times New Roman" w:eastAsia="仿宋_GB2312" w:cs="Times New Roman"/>
          <w:color w:val="000000"/>
          <w:sz w:val="32"/>
          <w:szCs w:val="32"/>
        </w:rPr>
      </w:pPr>
      <w:bookmarkStart w:id="20" w:name="_Toc1374682398"/>
      <w:r>
        <w:rPr>
          <w:rFonts w:hint="default" w:ascii="Times New Roman" w:hAnsi="Times New Roman" w:eastAsia="仿宋_GB2312" w:cs="Times New Roman"/>
          <w:color w:val="000000"/>
          <w:sz w:val="32"/>
          <w:szCs w:val="32"/>
        </w:rPr>
        <w:t>成果提交与备案</w:t>
      </w:r>
      <w:bookmarkEnd w:id="20"/>
    </w:p>
    <w:p w14:paraId="58FC5EBB">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城市体检成果应提交本级人民政府，作为本级政府城乡建设品质提升的参考，同步提交上一级政府住建部门备案。</w:t>
      </w:r>
    </w:p>
    <w:p w14:paraId="6B425CD5">
      <w:pPr>
        <w:pStyle w:val="2"/>
        <w:rPr>
          <w:rFonts w:hint="default" w:ascii="Times New Roman" w:hAnsi="Times New Roman" w:cs="Times New Roman"/>
        </w:rPr>
      </w:pPr>
    </w:p>
    <w:p w14:paraId="03D1BE64">
      <w:pPr>
        <w:rPr>
          <w:rFonts w:hint="default" w:ascii="Times New Roman" w:hAnsi="Times New Roman" w:cs="Times New Roman"/>
          <w:color w:val="000000"/>
        </w:rPr>
        <w:sectPr>
          <w:footerReference r:id="rId6" w:type="default"/>
          <w:pgSz w:w="11910" w:h="16840"/>
          <w:pgMar w:top="1321" w:right="1400" w:bottom="1338" w:left="1678" w:header="0" w:footer="987" w:gutter="0"/>
          <w:pgNumType w:start="1"/>
          <w:cols w:space="720" w:num="1"/>
          <w:docGrid w:linePitch="286" w:charSpace="0"/>
        </w:sectPr>
      </w:pPr>
      <w:bookmarkStart w:id="21" w:name="_bookmark19"/>
      <w:bookmarkEnd w:id="21"/>
    </w:p>
    <w:p w14:paraId="280B85C5">
      <w:pPr>
        <w:pStyle w:val="4"/>
        <w:jc w:val="left"/>
        <w:rPr>
          <w:rFonts w:hint="default" w:ascii="Times New Roman" w:hAnsi="Times New Roman" w:eastAsia="方正小标宋简体" w:cs="Times New Roman"/>
          <w:b w:val="0"/>
          <w:bCs w:val="0"/>
          <w:color w:val="000000"/>
        </w:rPr>
      </w:pPr>
      <w:bookmarkStart w:id="22" w:name="_Toc1609965780"/>
      <w:r>
        <w:rPr>
          <w:rFonts w:hint="default" w:ascii="Times New Roman" w:hAnsi="Times New Roman" w:eastAsia="方正小标宋简体" w:cs="Times New Roman"/>
          <w:b w:val="0"/>
          <w:bCs w:val="0"/>
          <w:color w:val="000000"/>
        </w:rPr>
        <w:t>附录A 住房和城乡建设部2023年度城市体检基础指标体系</w:t>
      </w:r>
      <w:bookmarkEnd w:id="22"/>
    </w:p>
    <w:tbl>
      <w:tblPr>
        <w:tblStyle w:val="29"/>
        <w:tblW w:w="14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842"/>
        <w:gridCol w:w="809"/>
        <w:gridCol w:w="2691"/>
        <w:gridCol w:w="9388"/>
      </w:tblGrid>
      <w:tr w14:paraId="645B2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788" w:type="dxa"/>
            <w:gridSpan w:val="2"/>
            <w:tcBorders>
              <w:top w:val="single" w:color="auto" w:sz="4" w:space="0"/>
              <w:left w:val="single" w:color="auto" w:sz="4" w:space="0"/>
              <w:bottom w:val="single" w:color="auto" w:sz="4" w:space="0"/>
              <w:right w:val="single" w:color="auto" w:sz="4" w:space="0"/>
            </w:tcBorders>
            <w:vAlign w:val="center"/>
          </w:tcPr>
          <w:p w14:paraId="289D044C">
            <w:pPr>
              <w:jc w:val="center"/>
              <w:rPr>
                <w:rFonts w:hint="default" w:ascii="Times New Roman" w:hAnsi="Times New Roman" w:eastAsia="仿宋_GB2312" w:cs="Times New Roman"/>
                <w:b/>
                <w:bCs/>
                <w:sz w:val="24"/>
                <w:szCs w:val="24"/>
                <w:lang w:bidi="ar"/>
              </w:rPr>
            </w:pPr>
            <w:r>
              <w:rPr>
                <w:rFonts w:hint="default" w:ascii="Times New Roman" w:hAnsi="Times New Roman" w:eastAsia="仿宋_GB2312" w:cs="Times New Roman"/>
                <w:b/>
                <w:bCs/>
                <w:sz w:val="24"/>
                <w:szCs w:val="24"/>
                <w:lang w:bidi="ar"/>
              </w:rPr>
              <w:t>维度</w:t>
            </w:r>
          </w:p>
        </w:tc>
        <w:tc>
          <w:tcPr>
            <w:tcW w:w="809" w:type="dxa"/>
            <w:tcBorders>
              <w:top w:val="single" w:color="auto" w:sz="4" w:space="0"/>
              <w:left w:val="single" w:color="auto" w:sz="4" w:space="0"/>
              <w:bottom w:val="single" w:color="auto" w:sz="4" w:space="0"/>
              <w:right w:val="single" w:color="auto" w:sz="4" w:space="0"/>
            </w:tcBorders>
            <w:vAlign w:val="center"/>
          </w:tcPr>
          <w:p w14:paraId="4A6D79FC">
            <w:pPr>
              <w:spacing w:line="400" w:lineRule="exact"/>
              <w:jc w:val="center"/>
              <w:rPr>
                <w:rFonts w:hint="default" w:ascii="Times New Roman" w:hAnsi="Times New Roman" w:eastAsia="仿宋_GB2312" w:cs="Times New Roman"/>
                <w:b/>
                <w:bCs/>
                <w:sz w:val="24"/>
                <w:szCs w:val="24"/>
                <w:lang w:bidi="ar"/>
              </w:rPr>
            </w:pPr>
            <w:r>
              <w:rPr>
                <w:rFonts w:hint="default" w:ascii="Times New Roman" w:hAnsi="Times New Roman" w:eastAsia="仿宋_GB2312" w:cs="Times New Roman"/>
                <w:b/>
                <w:bCs/>
                <w:sz w:val="24"/>
                <w:szCs w:val="24"/>
                <w:lang w:bidi="ar"/>
              </w:rPr>
              <w:t>序号</w:t>
            </w:r>
          </w:p>
        </w:tc>
        <w:tc>
          <w:tcPr>
            <w:tcW w:w="2691" w:type="dxa"/>
            <w:tcBorders>
              <w:top w:val="single" w:color="auto" w:sz="4" w:space="0"/>
              <w:left w:val="single" w:color="auto" w:sz="4" w:space="0"/>
              <w:bottom w:val="single" w:color="auto" w:sz="4" w:space="0"/>
              <w:right w:val="single" w:color="auto" w:sz="4" w:space="0"/>
            </w:tcBorders>
            <w:vAlign w:val="center"/>
          </w:tcPr>
          <w:p w14:paraId="5BBFE598">
            <w:pPr>
              <w:jc w:val="center"/>
              <w:rPr>
                <w:rFonts w:hint="default" w:ascii="Times New Roman" w:hAnsi="Times New Roman" w:eastAsia="仿宋_GB2312" w:cs="Times New Roman"/>
                <w:b/>
                <w:bCs/>
                <w:sz w:val="24"/>
                <w:szCs w:val="24"/>
                <w:lang w:bidi="ar"/>
              </w:rPr>
            </w:pPr>
            <w:r>
              <w:rPr>
                <w:rFonts w:hint="default" w:ascii="Times New Roman" w:hAnsi="Times New Roman" w:eastAsia="仿宋_GB2312" w:cs="Times New Roman"/>
                <w:b/>
                <w:bCs/>
                <w:sz w:val="24"/>
                <w:szCs w:val="24"/>
                <w:lang w:bidi="ar"/>
              </w:rPr>
              <w:t>指标项</w:t>
            </w:r>
          </w:p>
        </w:tc>
        <w:tc>
          <w:tcPr>
            <w:tcW w:w="9388" w:type="dxa"/>
            <w:tcBorders>
              <w:top w:val="single" w:color="auto" w:sz="4" w:space="0"/>
              <w:left w:val="single" w:color="auto" w:sz="4" w:space="0"/>
              <w:bottom w:val="single" w:color="auto" w:sz="4" w:space="0"/>
              <w:right w:val="single" w:color="auto" w:sz="4" w:space="0"/>
            </w:tcBorders>
            <w:vAlign w:val="center"/>
          </w:tcPr>
          <w:p w14:paraId="399A88AE">
            <w:pPr>
              <w:jc w:val="center"/>
              <w:rPr>
                <w:rFonts w:hint="default" w:ascii="Times New Roman" w:hAnsi="Times New Roman" w:eastAsia="仿宋_GB2312" w:cs="Times New Roman"/>
                <w:b/>
                <w:bCs/>
                <w:sz w:val="24"/>
                <w:szCs w:val="24"/>
                <w:lang w:bidi="ar"/>
              </w:rPr>
            </w:pPr>
            <w:r>
              <w:rPr>
                <w:rFonts w:hint="default" w:ascii="Times New Roman" w:hAnsi="Times New Roman" w:eastAsia="仿宋_GB2312" w:cs="Times New Roman"/>
                <w:b/>
                <w:bCs/>
                <w:sz w:val="24"/>
                <w:szCs w:val="24"/>
                <w:lang w:bidi="ar"/>
              </w:rPr>
              <w:t>体检内容</w:t>
            </w:r>
          </w:p>
        </w:tc>
      </w:tr>
      <w:tr w14:paraId="0C2E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0" w:type="auto"/>
            <w:vMerge w:val="restart"/>
            <w:tcBorders>
              <w:top w:val="single" w:color="auto" w:sz="4" w:space="0"/>
              <w:left w:val="single" w:color="auto" w:sz="4" w:space="0"/>
              <w:right w:val="single" w:color="auto" w:sz="4" w:space="0"/>
            </w:tcBorders>
            <w:vAlign w:val="center"/>
          </w:tcPr>
          <w:p w14:paraId="772E2AEE">
            <w:pPr>
              <w:spacing w:line="400" w:lineRule="exact"/>
              <w:jc w:val="center"/>
              <w:rPr>
                <w:rFonts w:hint="default" w:ascii="Times New Roman" w:hAnsi="Times New Roman" w:eastAsia="仿宋_GB2312" w:cs="Times New Roman"/>
                <w:b/>
                <w:bCs/>
                <w:sz w:val="24"/>
                <w:szCs w:val="24"/>
                <w:lang w:bidi="ar"/>
              </w:rPr>
            </w:pPr>
            <w:r>
              <w:rPr>
                <w:rFonts w:hint="default" w:ascii="Times New Roman" w:hAnsi="Times New Roman" w:eastAsia="仿宋_GB2312" w:cs="Times New Roman"/>
                <w:b/>
                <w:bCs/>
                <w:kern w:val="0"/>
                <w:sz w:val="24"/>
                <w:szCs w:val="24"/>
                <w:lang w:bidi="ar"/>
              </w:rPr>
              <w:t>住房</w:t>
            </w:r>
          </w:p>
        </w:tc>
        <w:tc>
          <w:tcPr>
            <w:tcW w:w="842" w:type="dxa"/>
            <w:vMerge w:val="restart"/>
            <w:tcBorders>
              <w:top w:val="single" w:color="auto" w:sz="4" w:space="0"/>
              <w:left w:val="single" w:color="auto" w:sz="4" w:space="0"/>
              <w:right w:val="single" w:color="auto" w:sz="4" w:space="0"/>
            </w:tcBorders>
            <w:vAlign w:val="center"/>
          </w:tcPr>
          <w:p w14:paraId="66768248">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kern w:val="0"/>
                <w:sz w:val="24"/>
                <w:szCs w:val="24"/>
                <w:lang w:bidi="ar"/>
              </w:rPr>
              <w:t>安全</w:t>
            </w:r>
          </w:p>
          <w:p w14:paraId="048EE655">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kern w:val="0"/>
                <w:sz w:val="24"/>
                <w:szCs w:val="24"/>
                <w:lang w:bidi="ar"/>
              </w:rPr>
              <w:t>耐久</w:t>
            </w:r>
          </w:p>
        </w:tc>
        <w:tc>
          <w:tcPr>
            <w:tcW w:w="809" w:type="dxa"/>
            <w:tcBorders>
              <w:top w:val="single" w:color="auto" w:sz="4" w:space="0"/>
              <w:left w:val="single" w:color="auto" w:sz="4" w:space="0"/>
              <w:bottom w:val="single" w:color="auto" w:sz="4" w:space="0"/>
              <w:right w:val="single" w:color="auto" w:sz="4" w:space="0"/>
            </w:tcBorders>
            <w:vAlign w:val="center"/>
          </w:tcPr>
          <w:p w14:paraId="759FEBF4">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1</w:t>
            </w:r>
          </w:p>
        </w:tc>
        <w:tc>
          <w:tcPr>
            <w:tcW w:w="2691" w:type="dxa"/>
            <w:tcBorders>
              <w:top w:val="single" w:color="auto" w:sz="4" w:space="0"/>
              <w:left w:val="single" w:color="auto" w:sz="4" w:space="0"/>
              <w:bottom w:val="single" w:color="auto" w:sz="4" w:space="0"/>
              <w:right w:val="single" w:color="auto" w:sz="4" w:space="0"/>
            </w:tcBorders>
            <w:vAlign w:val="center"/>
          </w:tcPr>
          <w:p w14:paraId="7CE7AB71">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存在使用安全隐患的住宅数量（栋）</w:t>
            </w:r>
          </w:p>
        </w:tc>
        <w:tc>
          <w:tcPr>
            <w:tcW w:w="9388" w:type="dxa"/>
            <w:tcBorders>
              <w:top w:val="single" w:color="auto" w:sz="4" w:space="0"/>
              <w:left w:val="single" w:color="auto" w:sz="4" w:space="0"/>
              <w:bottom w:val="single" w:color="auto" w:sz="4" w:space="0"/>
              <w:right w:val="single" w:color="auto" w:sz="4" w:space="0"/>
            </w:tcBorders>
            <w:vAlign w:val="center"/>
          </w:tcPr>
          <w:p w14:paraId="2636E90D">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依托第一次全国自然灾害综合风险普查房屋建筑和市政设施调查数据，对城市住宅安全状况进行初步筛查，查找安全隐患。重点是1980年（含）以前建成且未进行加固的城市住宅，以及1981年至1990年之间建成的城市预制板砌体住宅。</w:t>
            </w:r>
          </w:p>
        </w:tc>
      </w:tr>
      <w:tr w14:paraId="790CE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0" w:type="auto"/>
            <w:vMerge w:val="continue"/>
            <w:tcBorders>
              <w:left w:val="single" w:color="auto" w:sz="4" w:space="0"/>
              <w:right w:val="single" w:color="auto" w:sz="4" w:space="0"/>
            </w:tcBorders>
            <w:vAlign w:val="center"/>
          </w:tcPr>
          <w:p w14:paraId="308E8251">
            <w:pPr>
              <w:jc w:val="center"/>
              <w:rPr>
                <w:rFonts w:hint="default" w:ascii="Times New Roman" w:hAnsi="Times New Roman" w:eastAsia="仿宋_GB2312" w:cs="Times New Roman"/>
                <w:b/>
                <w:bCs/>
                <w:sz w:val="24"/>
                <w:szCs w:val="24"/>
                <w:lang w:bidi="ar"/>
              </w:rPr>
            </w:pPr>
          </w:p>
        </w:tc>
        <w:tc>
          <w:tcPr>
            <w:tcW w:w="842" w:type="dxa"/>
            <w:vMerge w:val="continue"/>
            <w:tcBorders>
              <w:left w:val="single" w:color="auto" w:sz="4" w:space="0"/>
              <w:right w:val="single" w:color="auto" w:sz="4" w:space="0"/>
            </w:tcBorders>
            <w:vAlign w:val="center"/>
          </w:tcPr>
          <w:p w14:paraId="20F0BA6A">
            <w:pPr>
              <w:spacing w:line="400" w:lineRule="exact"/>
              <w:jc w:val="center"/>
              <w:rPr>
                <w:rFonts w:hint="default" w:ascii="Times New Roman" w:hAnsi="Times New Roman" w:eastAsia="仿宋_GB2312" w:cs="Times New Roman"/>
                <w:b/>
                <w:bCs/>
                <w:kern w:val="0"/>
                <w:sz w:val="24"/>
                <w:szCs w:val="24"/>
                <w:lang w:bidi="ar"/>
              </w:rPr>
            </w:pPr>
          </w:p>
        </w:tc>
        <w:tc>
          <w:tcPr>
            <w:tcW w:w="809" w:type="dxa"/>
            <w:tcBorders>
              <w:top w:val="single" w:color="auto" w:sz="4" w:space="0"/>
              <w:left w:val="single" w:color="auto" w:sz="4" w:space="0"/>
              <w:bottom w:val="single" w:color="auto" w:sz="4" w:space="0"/>
              <w:right w:val="single" w:color="auto" w:sz="4" w:space="0"/>
            </w:tcBorders>
            <w:vAlign w:val="center"/>
          </w:tcPr>
          <w:p w14:paraId="0A04B6B9">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2</w:t>
            </w:r>
          </w:p>
        </w:tc>
        <w:tc>
          <w:tcPr>
            <w:tcW w:w="2691" w:type="dxa"/>
            <w:tcBorders>
              <w:top w:val="single" w:color="auto" w:sz="4" w:space="0"/>
              <w:left w:val="single" w:color="auto" w:sz="4" w:space="0"/>
              <w:bottom w:val="single" w:color="auto" w:sz="4" w:space="0"/>
              <w:right w:val="single" w:color="auto" w:sz="4" w:space="0"/>
            </w:tcBorders>
            <w:vAlign w:val="center"/>
          </w:tcPr>
          <w:p w14:paraId="5D203598">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存在燃气安全隐患的住宅数量（栋）</w:t>
            </w:r>
          </w:p>
        </w:tc>
        <w:tc>
          <w:tcPr>
            <w:tcW w:w="9388" w:type="dxa"/>
            <w:tcBorders>
              <w:top w:val="single" w:color="auto" w:sz="4" w:space="0"/>
              <w:left w:val="single" w:color="auto" w:sz="4" w:space="0"/>
              <w:bottom w:val="single" w:color="auto" w:sz="4" w:space="0"/>
              <w:right w:val="single" w:color="auto" w:sz="4" w:space="0"/>
            </w:tcBorders>
            <w:vAlign w:val="center"/>
          </w:tcPr>
          <w:p w14:paraId="1DD50683">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查找既有住宅中燃气用户使用橡胶软管等安全隐患问题。</w:t>
            </w:r>
          </w:p>
        </w:tc>
      </w:tr>
      <w:tr w14:paraId="4316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0" w:type="auto"/>
            <w:vMerge w:val="continue"/>
            <w:tcBorders>
              <w:left w:val="single" w:color="auto" w:sz="4" w:space="0"/>
              <w:right w:val="single" w:color="auto" w:sz="4" w:space="0"/>
            </w:tcBorders>
            <w:vAlign w:val="center"/>
          </w:tcPr>
          <w:p w14:paraId="70703975">
            <w:pPr>
              <w:jc w:val="center"/>
              <w:rPr>
                <w:rFonts w:hint="default" w:ascii="Times New Roman" w:hAnsi="Times New Roman" w:eastAsia="仿宋_GB2312" w:cs="Times New Roman"/>
                <w:b/>
                <w:bCs/>
                <w:sz w:val="24"/>
                <w:szCs w:val="24"/>
                <w:lang w:bidi="ar"/>
              </w:rPr>
            </w:pPr>
          </w:p>
        </w:tc>
        <w:tc>
          <w:tcPr>
            <w:tcW w:w="842" w:type="dxa"/>
            <w:vMerge w:val="continue"/>
            <w:tcBorders>
              <w:left w:val="single" w:color="auto" w:sz="4" w:space="0"/>
              <w:right w:val="single" w:color="auto" w:sz="4" w:space="0"/>
            </w:tcBorders>
            <w:vAlign w:val="center"/>
          </w:tcPr>
          <w:p w14:paraId="130480F8">
            <w:pPr>
              <w:spacing w:line="400" w:lineRule="exact"/>
              <w:jc w:val="center"/>
              <w:rPr>
                <w:rFonts w:hint="default" w:ascii="Times New Roman" w:hAnsi="Times New Roman" w:eastAsia="仿宋_GB2312" w:cs="Times New Roman"/>
                <w:b/>
                <w:bCs/>
                <w:kern w:val="0"/>
                <w:sz w:val="24"/>
                <w:szCs w:val="24"/>
                <w:lang w:bidi="ar"/>
              </w:rPr>
            </w:pPr>
          </w:p>
        </w:tc>
        <w:tc>
          <w:tcPr>
            <w:tcW w:w="809" w:type="dxa"/>
            <w:tcBorders>
              <w:top w:val="single" w:color="auto" w:sz="4" w:space="0"/>
              <w:left w:val="single" w:color="auto" w:sz="4" w:space="0"/>
              <w:bottom w:val="single" w:color="auto" w:sz="4" w:space="0"/>
              <w:right w:val="single" w:color="auto" w:sz="4" w:space="0"/>
            </w:tcBorders>
            <w:vAlign w:val="center"/>
          </w:tcPr>
          <w:p w14:paraId="2F1EF294">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3</w:t>
            </w:r>
          </w:p>
        </w:tc>
        <w:tc>
          <w:tcPr>
            <w:tcW w:w="2691" w:type="dxa"/>
            <w:tcBorders>
              <w:top w:val="single" w:color="auto" w:sz="4" w:space="0"/>
              <w:left w:val="single" w:color="auto" w:sz="4" w:space="0"/>
              <w:bottom w:val="single" w:color="auto" w:sz="4" w:space="0"/>
              <w:right w:val="single" w:color="auto" w:sz="4" w:space="0"/>
            </w:tcBorders>
            <w:vAlign w:val="center"/>
          </w:tcPr>
          <w:p w14:paraId="3160BC0D">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存在楼道安全隐患的住宅数量（栋）</w:t>
            </w:r>
          </w:p>
        </w:tc>
        <w:tc>
          <w:tcPr>
            <w:tcW w:w="9388" w:type="dxa"/>
            <w:tcBorders>
              <w:top w:val="single" w:color="auto" w:sz="4" w:space="0"/>
              <w:left w:val="single" w:color="auto" w:sz="4" w:space="0"/>
              <w:bottom w:val="single" w:color="auto" w:sz="4" w:space="0"/>
              <w:right w:val="single" w:color="auto" w:sz="4" w:space="0"/>
            </w:tcBorders>
            <w:vAlign w:val="center"/>
          </w:tcPr>
          <w:p w14:paraId="0EBD44BC">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查找既有住宅中楼梯踏步、扶手、照明、安全护栏等设施损坏，通风井道堵塞、排风烟道堵塞或倒风串味，消防门损坏或无法关闭、消火栓无水、灭火器缺失、安全出口或疏散出口指示灯损坏，以及占用消防楼梯、楼道、管道井堆放杂物等问题。</w:t>
            </w:r>
          </w:p>
        </w:tc>
      </w:tr>
      <w:tr w14:paraId="63696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0" w:type="auto"/>
            <w:vMerge w:val="continue"/>
            <w:tcBorders>
              <w:left w:val="single" w:color="auto" w:sz="4" w:space="0"/>
              <w:right w:val="single" w:color="auto" w:sz="4" w:space="0"/>
            </w:tcBorders>
            <w:vAlign w:val="center"/>
          </w:tcPr>
          <w:p w14:paraId="29099EE8">
            <w:pPr>
              <w:jc w:val="center"/>
              <w:rPr>
                <w:rFonts w:hint="default" w:ascii="Times New Roman" w:hAnsi="Times New Roman" w:eastAsia="仿宋_GB2312" w:cs="Times New Roman"/>
                <w:b/>
                <w:bCs/>
                <w:sz w:val="24"/>
                <w:szCs w:val="24"/>
                <w:lang w:bidi="ar"/>
              </w:rPr>
            </w:pPr>
          </w:p>
        </w:tc>
        <w:tc>
          <w:tcPr>
            <w:tcW w:w="842" w:type="dxa"/>
            <w:vMerge w:val="continue"/>
            <w:tcBorders>
              <w:left w:val="single" w:color="auto" w:sz="4" w:space="0"/>
              <w:bottom w:val="single" w:color="auto" w:sz="4" w:space="0"/>
              <w:right w:val="single" w:color="auto" w:sz="4" w:space="0"/>
            </w:tcBorders>
            <w:vAlign w:val="center"/>
          </w:tcPr>
          <w:p w14:paraId="7F0CF469">
            <w:pPr>
              <w:spacing w:line="400" w:lineRule="exact"/>
              <w:jc w:val="center"/>
              <w:rPr>
                <w:rFonts w:hint="default" w:ascii="Times New Roman" w:hAnsi="Times New Roman" w:eastAsia="仿宋_GB2312" w:cs="Times New Roman"/>
                <w:b/>
                <w:bCs/>
                <w:kern w:val="0"/>
                <w:sz w:val="24"/>
                <w:szCs w:val="24"/>
                <w:lang w:bidi="ar"/>
              </w:rPr>
            </w:pPr>
          </w:p>
        </w:tc>
        <w:tc>
          <w:tcPr>
            <w:tcW w:w="809" w:type="dxa"/>
            <w:tcBorders>
              <w:top w:val="single" w:color="auto" w:sz="4" w:space="0"/>
              <w:left w:val="single" w:color="auto" w:sz="4" w:space="0"/>
              <w:bottom w:val="single" w:color="auto" w:sz="4" w:space="0"/>
              <w:right w:val="single" w:color="auto" w:sz="4" w:space="0"/>
            </w:tcBorders>
            <w:vAlign w:val="center"/>
          </w:tcPr>
          <w:p w14:paraId="0FA2B469">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4</w:t>
            </w:r>
          </w:p>
        </w:tc>
        <w:tc>
          <w:tcPr>
            <w:tcW w:w="2691" w:type="dxa"/>
            <w:tcBorders>
              <w:top w:val="single" w:color="auto" w:sz="4" w:space="0"/>
              <w:left w:val="single" w:color="auto" w:sz="4" w:space="0"/>
              <w:bottom w:val="single" w:color="auto" w:sz="4" w:space="0"/>
              <w:right w:val="single" w:color="auto" w:sz="4" w:space="0"/>
            </w:tcBorders>
            <w:vAlign w:val="center"/>
          </w:tcPr>
          <w:p w14:paraId="31581906">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存在围护安全隐患的住宅数量（栋）</w:t>
            </w:r>
          </w:p>
        </w:tc>
        <w:tc>
          <w:tcPr>
            <w:tcW w:w="9388" w:type="dxa"/>
            <w:tcBorders>
              <w:top w:val="single" w:color="auto" w:sz="4" w:space="0"/>
              <w:left w:val="single" w:color="auto" w:sz="4" w:space="0"/>
              <w:bottom w:val="single" w:color="auto" w:sz="4" w:space="0"/>
              <w:right w:val="single" w:color="auto" w:sz="4" w:space="0"/>
            </w:tcBorders>
            <w:vAlign w:val="center"/>
          </w:tcPr>
          <w:p w14:paraId="07C30534">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查找既有住宅中存在外墙保温材料、装饰材料、悬挂设施、门窗玻璃等破损、脱落等安全风险，以及存在屋顶、外墙、地下室渗漏积水等问题。</w:t>
            </w:r>
          </w:p>
        </w:tc>
      </w:tr>
      <w:tr w14:paraId="7C3FD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0" w:type="auto"/>
            <w:vMerge w:val="continue"/>
            <w:tcBorders>
              <w:left w:val="single" w:color="auto" w:sz="4" w:space="0"/>
              <w:right w:val="single" w:color="auto" w:sz="4" w:space="0"/>
            </w:tcBorders>
            <w:vAlign w:val="center"/>
          </w:tcPr>
          <w:p w14:paraId="4AB37C1B">
            <w:pPr>
              <w:jc w:val="center"/>
              <w:rPr>
                <w:rFonts w:hint="default" w:ascii="Times New Roman" w:hAnsi="Times New Roman" w:eastAsia="仿宋_GB2312" w:cs="Times New Roman"/>
                <w:b/>
                <w:bCs/>
                <w:sz w:val="24"/>
                <w:szCs w:val="24"/>
                <w:lang w:bidi="ar"/>
              </w:rPr>
            </w:pPr>
          </w:p>
        </w:tc>
        <w:tc>
          <w:tcPr>
            <w:tcW w:w="842" w:type="dxa"/>
            <w:vMerge w:val="restart"/>
            <w:tcBorders>
              <w:top w:val="single" w:color="auto" w:sz="4" w:space="0"/>
              <w:left w:val="single" w:color="auto" w:sz="4" w:space="0"/>
              <w:right w:val="single" w:color="auto" w:sz="4" w:space="0"/>
            </w:tcBorders>
            <w:vAlign w:val="center"/>
          </w:tcPr>
          <w:p w14:paraId="5C26A743">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kern w:val="0"/>
                <w:sz w:val="24"/>
                <w:szCs w:val="24"/>
                <w:lang w:bidi="ar"/>
              </w:rPr>
              <w:t>功能</w:t>
            </w:r>
          </w:p>
          <w:p w14:paraId="5D864545">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kern w:val="0"/>
                <w:sz w:val="24"/>
                <w:szCs w:val="24"/>
                <w:lang w:bidi="ar"/>
              </w:rPr>
              <w:t>完备</w:t>
            </w:r>
          </w:p>
        </w:tc>
        <w:tc>
          <w:tcPr>
            <w:tcW w:w="809" w:type="dxa"/>
            <w:tcBorders>
              <w:top w:val="single" w:color="auto" w:sz="4" w:space="0"/>
              <w:left w:val="single" w:color="auto" w:sz="4" w:space="0"/>
              <w:bottom w:val="single" w:color="auto" w:sz="4" w:space="0"/>
              <w:right w:val="single" w:color="auto" w:sz="4" w:space="0"/>
            </w:tcBorders>
            <w:vAlign w:val="center"/>
          </w:tcPr>
          <w:p w14:paraId="092BA622">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5</w:t>
            </w:r>
          </w:p>
        </w:tc>
        <w:tc>
          <w:tcPr>
            <w:tcW w:w="2691" w:type="dxa"/>
            <w:tcBorders>
              <w:top w:val="single" w:color="auto" w:sz="4" w:space="0"/>
              <w:left w:val="single" w:color="auto" w:sz="4" w:space="0"/>
              <w:bottom w:val="single" w:color="auto" w:sz="4" w:space="0"/>
              <w:right w:val="single" w:color="auto" w:sz="4" w:space="0"/>
            </w:tcBorders>
            <w:vAlign w:val="center"/>
          </w:tcPr>
          <w:p w14:paraId="7128DC9C">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住宅性能不达标的住宅数量（栋）</w:t>
            </w:r>
          </w:p>
        </w:tc>
        <w:tc>
          <w:tcPr>
            <w:tcW w:w="9388" w:type="dxa"/>
            <w:tcBorders>
              <w:top w:val="single" w:color="auto" w:sz="4" w:space="0"/>
              <w:left w:val="single" w:color="auto" w:sz="4" w:space="0"/>
              <w:bottom w:val="single" w:color="auto" w:sz="4" w:space="0"/>
              <w:right w:val="single" w:color="auto" w:sz="4" w:space="0"/>
            </w:tcBorders>
            <w:vAlign w:val="center"/>
          </w:tcPr>
          <w:p w14:paraId="4E7B2555">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按照《住宅性能评定标准》，调查既有住宅中没有厨房、卫生间等基本功能空间的情况。具备条件的，查找既有住宅在采光、通风等性能方面的短板问题。</w:t>
            </w:r>
          </w:p>
        </w:tc>
      </w:tr>
      <w:tr w14:paraId="6FFB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0" w:type="auto"/>
            <w:vMerge w:val="continue"/>
            <w:tcBorders>
              <w:left w:val="single" w:color="auto" w:sz="4" w:space="0"/>
              <w:right w:val="single" w:color="auto" w:sz="4" w:space="0"/>
            </w:tcBorders>
            <w:vAlign w:val="center"/>
          </w:tcPr>
          <w:p w14:paraId="6DE830A5">
            <w:pPr>
              <w:jc w:val="center"/>
              <w:rPr>
                <w:rFonts w:hint="default" w:ascii="Times New Roman" w:hAnsi="Times New Roman" w:eastAsia="仿宋_GB2312" w:cs="Times New Roman"/>
                <w:b/>
                <w:bCs/>
                <w:sz w:val="24"/>
                <w:szCs w:val="24"/>
                <w:lang w:bidi="ar"/>
              </w:rPr>
            </w:pPr>
          </w:p>
        </w:tc>
        <w:tc>
          <w:tcPr>
            <w:tcW w:w="842" w:type="dxa"/>
            <w:vMerge w:val="continue"/>
            <w:tcBorders>
              <w:left w:val="single" w:color="auto" w:sz="4" w:space="0"/>
              <w:right w:val="single" w:color="auto" w:sz="4" w:space="0"/>
            </w:tcBorders>
            <w:vAlign w:val="center"/>
          </w:tcPr>
          <w:p w14:paraId="5DBE3CC3">
            <w:pPr>
              <w:spacing w:line="400" w:lineRule="exact"/>
              <w:jc w:val="center"/>
              <w:rPr>
                <w:rFonts w:hint="default" w:ascii="Times New Roman" w:hAnsi="Times New Roman" w:eastAsia="仿宋_GB2312" w:cs="Times New Roman"/>
                <w:b/>
                <w:bCs/>
                <w:kern w:val="0"/>
                <w:sz w:val="24"/>
                <w:szCs w:val="24"/>
                <w:lang w:bidi="ar"/>
              </w:rPr>
            </w:pPr>
          </w:p>
        </w:tc>
        <w:tc>
          <w:tcPr>
            <w:tcW w:w="809" w:type="dxa"/>
            <w:tcBorders>
              <w:top w:val="single" w:color="auto" w:sz="4" w:space="0"/>
              <w:left w:val="single" w:color="auto" w:sz="4" w:space="0"/>
              <w:bottom w:val="single" w:color="auto" w:sz="4" w:space="0"/>
              <w:right w:val="single" w:color="auto" w:sz="4" w:space="0"/>
            </w:tcBorders>
            <w:vAlign w:val="center"/>
          </w:tcPr>
          <w:p w14:paraId="7DE60DA1">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6</w:t>
            </w:r>
          </w:p>
        </w:tc>
        <w:tc>
          <w:tcPr>
            <w:tcW w:w="2691" w:type="dxa"/>
            <w:tcBorders>
              <w:top w:val="single" w:color="auto" w:sz="4" w:space="0"/>
              <w:left w:val="single" w:color="auto" w:sz="4" w:space="0"/>
              <w:bottom w:val="single" w:color="auto" w:sz="4" w:space="0"/>
              <w:right w:val="single" w:color="auto" w:sz="4" w:space="0"/>
            </w:tcBorders>
            <w:vAlign w:val="center"/>
          </w:tcPr>
          <w:p w14:paraId="2ED4CC2E">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存在管线管道破损的住宅数量（栋）</w:t>
            </w:r>
          </w:p>
        </w:tc>
        <w:tc>
          <w:tcPr>
            <w:tcW w:w="9388" w:type="dxa"/>
            <w:tcBorders>
              <w:top w:val="single" w:color="auto" w:sz="4" w:space="0"/>
              <w:left w:val="single" w:color="auto" w:sz="4" w:space="0"/>
              <w:bottom w:val="single" w:color="auto" w:sz="4" w:space="0"/>
              <w:right w:val="single" w:color="auto" w:sz="4" w:space="0"/>
            </w:tcBorders>
            <w:vAlign w:val="center"/>
          </w:tcPr>
          <w:p w14:paraId="43E7523C">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查找既有住宅中给水、排水、供热、供电、通信等管线管道和设施设备老化破损、跑冒滴漏、供给不足、管道堵塞等问题。</w:t>
            </w:r>
          </w:p>
        </w:tc>
      </w:tr>
      <w:tr w14:paraId="10A66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0" w:type="auto"/>
            <w:vMerge w:val="continue"/>
            <w:tcBorders>
              <w:left w:val="single" w:color="auto" w:sz="4" w:space="0"/>
              <w:right w:val="single" w:color="auto" w:sz="4" w:space="0"/>
            </w:tcBorders>
            <w:vAlign w:val="center"/>
          </w:tcPr>
          <w:p w14:paraId="72B32307">
            <w:pPr>
              <w:jc w:val="center"/>
              <w:rPr>
                <w:rFonts w:hint="default" w:ascii="Times New Roman" w:hAnsi="Times New Roman" w:eastAsia="仿宋_GB2312" w:cs="Times New Roman"/>
                <w:b/>
                <w:bCs/>
                <w:sz w:val="24"/>
                <w:szCs w:val="24"/>
                <w:lang w:bidi="ar"/>
              </w:rPr>
            </w:pPr>
          </w:p>
        </w:tc>
        <w:tc>
          <w:tcPr>
            <w:tcW w:w="842" w:type="dxa"/>
            <w:vMerge w:val="continue"/>
            <w:tcBorders>
              <w:left w:val="single" w:color="auto" w:sz="4" w:space="0"/>
              <w:right w:val="single" w:color="auto" w:sz="4" w:space="0"/>
            </w:tcBorders>
            <w:vAlign w:val="center"/>
          </w:tcPr>
          <w:p w14:paraId="15130255">
            <w:pPr>
              <w:spacing w:line="400" w:lineRule="exact"/>
              <w:jc w:val="center"/>
              <w:rPr>
                <w:rFonts w:hint="default" w:ascii="Times New Roman" w:hAnsi="Times New Roman" w:eastAsia="仿宋_GB2312" w:cs="Times New Roman"/>
                <w:b/>
                <w:bCs/>
                <w:kern w:val="0"/>
                <w:sz w:val="24"/>
                <w:szCs w:val="24"/>
                <w:lang w:bidi="ar"/>
              </w:rPr>
            </w:pPr>
          </w:p>
        </w:tc>
        <w:tc>
          <w:tcPr>
            <w:tcW w:w="809" w:type="dxa"/>
            <w:tcBorders>
              <w:top w:val="single" w:color="auto" w:sz="4" w:space="0"/>
              <w:left w:val="single" w:color="auto" w:sz="4" w:space="0"/>
              <w:bottom w:val="single" w:color="auto" w:sz="4" w:space="0"/>
              <w:right w:val="single" w:color="auto" w:sz="4" w:space="0"/>
            </w:tcBorders>
            <w:vAlign w:val="center"/>
          </w:tcPr>
          <w:p w14:paraId="7C41CB82">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7</w:t>
            </w:r>
          </w:p>
        </w:tc>
        <w:tc>
          <w:tcPr>
            <w:tcW w:w="2691" w:type="dxa"/>
            <w:tcBorders>
              <w:top w:val="single" w:color="auto" w:sz="4" w:space="0"/>
              <w:left w:val="single" w:color="auto" w:sz="4" w:space="0"/>
              <w:bottom w:val="single" w:color="auto" w:sz="4" w:space="0"/>
              <w:right w:val="single" w:color="auto" w:sz="4" w:space="0"/>
            </w:tcBorders>
            <w:vAlign w:val="center"/>
          </w:tcPr>
          <w:p w14:paraId="2E1D0DB9">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入户水质水压不达标的住宅数量（栋）</w:t>
            </w:r>
          </w:p>
        </w:tc>
        <w:tc>
          <w:tcPr>
            <w:tcW w:w="9388" w:type="dxa"/>
            <w:tcBorders>
              <w:top w:val="single" w:color="auto" w:sz="4" w:space="0"/>
              <w:left w:val="single" w:color="auto" w:sz="4" w:space="0"/>
              <w:bottom w:val="single" w:color="auto" w:sz="4" w:space="0"/>
              <w:right w:val="single" w:color="auto" w:sz="4" w:space="0"/>
            </w:tcBorders>
            <w:vAlign w:val="center"/>
          </w:tcPr>
          <w:p w14:paraId="3A97A519">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查找既有住宅中入户水质不满足《生活饮用水卫生标准》要求、居民用水水压不足的问题。</w:t>
            </w:r>
          </w:p>
        </w:tc>
      </w:tr>
      <w:tr w14:paraId="59F0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continue"/>
            <w:tcBorders>
              <w:left w:val="single" w:color="auto" w:sz="4" w:space="0"/>
              <w:right w:val="single" w:color="auto" w:sz="4" w:space="0"/>
            </w:tcBorders>
            <w:vAlign w:val="center"/>
          </w:tcPr>
          <w:p w14:paraId="25FC9F39">
            <w:pPr>
              <w:jc w:val="center"/>
              <w:rPr>
                <w:rFonts w:hint="default" w:ascii="Times New Roman" w:hAnsi="Times New Roman" w:eastAsia="仿宋_GB2312" w:cs="Times New Roman"/>
                <w:b/>
                <w:bCs/>
                <w:sz w:val="24"/>
                <w:szCs w:val="24"/>
                <w:lang w:bidi="ar"/>
              </w:rPr>
            </w:pPr>
          </w:p>
        </w:tc>
        <w:tc>
          <w:tcPr>
            <w:tcW w:w="842" w:type="dxa"/>
            <w:vMerge w:val="continue"/>
            <w:tcBorders>
              <w:left w:val="single" w:color="auto" w:sz="4" w:space="0"/>
              <w:bottom w:val="single" w:color="auto" w:sz="4" w:space="0"/>
              <w:right w:val="single" w:color="auto" w:sz="4" w:space="0"/>
            </w:tcBorders>
            <w:vAlign w:val="center"/>
          </w:tcPr>
          <w:p w14:paraId="2747BD03">
            <w:pPr>
              <w:spacing w:line="400" w:lineRule="exact"/>
              <w:jc w:val="center"/>
              <w:rPr>
                <w:rFonts w:hint="default" w:ascii="Times New Roman" w:hAnsi="Times New Roman" w:eastAsia="仿宋_GB2312" w:cs="Times New Roman"/>
                <w:b/>
                <w:bCs/>
                <w:kern w:val="0"/>
                <w:sz w:val="24"/>
                <w:szCs w:val="24"/>
                <w:lang w:bidi="ar"/>
              </w:rPr>
            </w:pPr>
          </w:p>
        </w:tc>
        <w:tc>
          <w:tcPr>
            <w:tcW w:w="809" w:type="dxa"/>
            <w:tcBorders>
              <w:top w:val="single" w:color="auto" w:sz="4" w:space="0"/>
              <w:left w:val="single" w:color="auto" w:sz="4" w:space="0"/>
              <w:bottom w:val="single" w:color="auto" w:sz="4" w:space="0"/>
              <w:right w:val="single" w:color="auto" w:sz="4" w:space="0"/>
            </w:tcBorders>
            <w:vAlign w:val="center"/>
          </w:tcPr>
          <w:p w14:paraId="2872613F">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8</w:t>
            </w:r>
          </w:p>
        </w:tc>
        <w:tc>
          <w:tcPr>
            <w:tcW w:w="2691" w:type="dxa"/>
            <w:tcBorders>
              <w:top w:val="single" w:color="auto" w:sz="4" w:space="0"/>
              <w:left w:val="single" w:color="auto" w:sz="4" w:space="0"/>
              <w:bottom w:val="single" w:color="auto" w:sz="4" w:space="0"/>
              <w:right w:val="single" w:color="auto" w:sz="4" w:space="0"/>
            </w:tcBorders>
            <w:vAlign w:val="center"/>
          </w:tcPr>
          <w:p w14:paraId="2FBD65F2">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需要进行适老化改造的住宅数量（栋）</w:t>
            </w:r>
          </w:p>
        </w:tc>
        <w:tc>
          <w:tcPr>
            <w:tcW w:w="9388" w:type="dxa"/>
            <w:tcBorders>
              <w:top w:val="single" w:color="auto" w:sz="4" w:space="0"/>
              <w:left w:val="single" w:color="auto" w:sz="4" w:space="0"/>
              <w:bottom w:val="single" w:color="auto" w:sz="4" w:space="0"/>
              <w:right w:val="single" w:color="auto" w:sz="4" w:space="0"/>
            </w:tcBorders>
            <w:vAlign w:val="center"/>
          </w:tcPr>
          <w:p w14:paraId="43E9F98B">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查找建成时未安装电梯的多层住宅中具备加装电梯条件、但尚未加装改造的问题。具备条件的，可按照《无障碍设计规范》、既有住宅适老化改造相关标准要求，查找住宅出入口、门厅等公用区域以及住宅户内适老设施建设短板。</w:t>
            </w:r>
          </w:p>
        </w:tc>
      </w:tr>
      <w:tr w14:paraId="067F9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continue"/>
            <w:tcBorders>
              <w:left w:val="single" w:color="auto" w:sz="4" w:space="0"/>
              <w:right w:val="single" w:color="auto" w:sz="4" w:space="0"/>
            </w:tcBorders>
            <w:vAlign w:val="center"/>
          </w:tcPr>
          <w:p w14:paraId="1E921052">
            <w:pPr>
              <w:jc w:val="center"/>
              <w:rPr>
                <w:rFonts w:hint="default" w:ascii="Times New Roman" w:hAnsi="Times New Roman" w:eastAsia="仿宋_GB2312" w:cs="Times New Roman"/>
                <w:b/>
                <w:bCs/>
                <w:sz w:val="24"/>
                <w:szCs w:val="24"/>
                <w:lang w:bidi="ar"/>
              </w:rPr>
            </w:pPr>
          </w:p>
        </w:tc>
        <w:tc>
          <w:tcPr>
            <w:tcW w:w="842" w:type="dxa"/>
            <w:vMerge w:val="restart"/>
            <w:tcBorders>
              <w:top w:val="single" w:color="auto" w:sz="4" w:space="0"/>
              <w:left w:val="single" w:color="auto" w:sz="4" w:space="0"/>
              <w:right w:val="single" w:color="auto" w:sz="4" w:space="0"/>
            </w:tcBorders>
            <w:vAlign w:val="center"/>
          </w:tcPr>
          <w:p w14:paraId="2B69B3B0">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kern w:val="0"/>
                <w:sz w:val="24"/>
                <w:szCs w:val="24"/>
                <w:lang w:bidi="ar"/>
              </w:rPr>
              <w:t>绿色</w:t>
            </w:r>
          </w:p>
          <w:p w14:paraId="1BE53B6A">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kern w:val="0"/>
                <w:sz w:val="24"/>
                <w:szCs w:val="24"/>
                <w:lang w:bidi="ar"/>
              </w:rPr>
              <w:t>智能</w:t>
            </w:r>
          </w:p>
          <w:p w14:paraId="11D2A7E1">
            <w:pPr>
              <w:pStyle w:val="12"/>
              <w:jc w:val="center"/>
              <w:rPr>
                <w:rFonts w:hint="default" w:ascii="Times New Roman" w:hAnsi="Times New Roman" w:eastAsia="仿宋_GB2312" w:cs="Times New Roman"/>
              </w:rPr>
            </w:pPr>
          </w:p>
        </w:tc>
        <w:tc>
          <w:tcPr>
            <w:tcW w:w="809" w:type="dxa"/>
            <w:tcBorders>
              <w:top w:val="single" w:color="auto" w:sz="4" w:space="0"/>
              <w:left w:val="single" w:color="auto" w:sz="4" w:space="0"/>
              <w:bottom w:val="single" w:color="auto" w:sz="4" w:space="0"/>
              <w:right w:val="single" w:color="auto" w:sz="4" w:space="0"/>
            </w:tcBorders>
            <w:vAlign w:val="center"/>
          </w:tcPr>
          <w:p w14:paraId="76917CBB">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9</w:t>
            </w:r>
          </w:p>
        </w:tc>
        <w:tc>
          <w:tcPr>
            <w:tcW w:w="2691" w:type="dxa"/>
            <w:tcBorders>
              <w:top w:val="single" w:color="auto" w:sz="4" w:space="0"/>
              <w:left w:val="single" w:color="auto" w:sz="4" w:space="0"/>
              <w:bottom w:val="single" w:color="auto" w:sz="4" w:space="0"/>
              <w:right w:val="single" w:color="auto" w:sz="4" w:space="0"/>
            </w:tcBorders>
            <w:vAlign w:val="center"/>
          </w:tcPr>
          <w:p w14:paraId="52B047E8">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需要进行节能改造的住宅数量（栋）</w:t>
            </w:r>
          </w:p>
        </w:tc>
        <w:tc>
          <w:tcPr>
            <w:tcW w:w="9388" w:type="dxa"/>
            <w:tcBorders>
              <w:top w:val="single" w:color="auto" w:sz="4" w:space="0"/>
              <w:left w:val="single" w:color="auto" w:sz="4" w:space="0"/>
              <w:bottom w:val="single" w:color="auto" w:sz="4" w:space="0"/>
              <w:right w:val="single" w:color="auto" w:sz="4" w:space="0"/>
            </w:tcBorders>
            <w:vAlign w:val="center"/>
          </w:tcPr>
          <w:p w14:paraId="0ACAD6DC">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按照《城乡建设领域碳达峰实施方案》要求，查找既有住宅中具备节能改造价值但尚未进行节能改造的问题。</w:t>
            </w:r>
          </w:p>
        </w:tc>
      </w:tr>
      <w:tr w14:paraId="26E67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continue"/>
            <w:tcBorders>
              <w:left w:val="single" w:color="auto" w:sz="4" w:space="0"/>
              <w:bottom w:val="single" w:color="auto" w:sz="4" w:space="0"/>
              <w:right w:val="single" w:color="auto" w:sz="4" w:space="0"/>
            </w:tcBorders>
            <w:vAlign w:val="center"/>
          </w:tcPr>
          <w:p w14:paraId="1D9ACEBA">
            <w:pPr>
              <w:jc w:val="center"/>
              <w:rPr>
                <w:rFonts w:hint="default" w:ascii="Times New Roman" w:hAnsi="Times New Roman" w:eastAsia="仿宋_GB2312" w:cs="Times New Roman"/>
                <w:b/>
                <w:bCs/>
                <w:sz w:val="24"/>
                <w:szCs w:val="24"/>
                <w:lang w:bidi="ar"/>
              </w:rPr>
            </w:pPr>
          </w:p>
        </w:tc>
        <w:tc>
          <w:tcPr>
            <w:tcW w:w="842" w:type="dxa"/>
            <w:vMerge w:val="continue"/>
            <w:tcBorders>
              <w:left w:val="single" w:color="auto" w:sz="4" w:space="0"/>
              <w:bottom w:val="single" w:color="auto" w:sz="4" w:space="0"/>
              <w:right w:val="single" w:color="auto" w:sz="4" w:space="0"/>
            </w:tcBorders>
            <w:vAlign w:val="center"/>
          </w:tcPr>
          <w:p w14:paraId="077BAC92">
            <w:pPr>
              <w:jc w:val="center"/>
              <w:rPr>
                <w:rFonts w:hint="default" w:ascii="Times New Roman" w:hAnsi="Times New Roman" w:eastAsia="仿宋_GB2312" w:cs="Times New Roman"/>
                <w:b/>
                <w:bCs/>
                <w:sz w:val="24"/>
                <w:szCs w:val="24"/>
                <w:lang w:bidi="ar"/>
              </w:rPr>
            </w:pPr>
          </w:p>
        </w:tc>
        <w:tc>
          <w:tcPr>
            <w:tcW w:w="809" w:type="dxa"/>
            <w:tcBorders>
              <w:top w:val="single" w:color="auto" w:sz="4" w:space="0"/>
              <w:left w:val="single" w:color="auto" w:sz="4" w:space="0"/>
              <w:bottom w:val="single" w:color="auto" w:sz="4" w:space="0"/>
              <w:right w:val="single" w:color="auto" w:sz="4" w:space="0"/>
            </w:tcBorders>
            <w:vAlign w:val="center"/>
          </w:tcPr>
          <w:p w14:paraId="7CB9F9C8">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10</w:t>
            </w:r>
          </w:p>
        </w:tc>
        <w:tc>
          <w:tcPr>
            <w:tcW w:w="2691" w:type="dxa"/>
            <w:tcBorders>
              <w:top w:val="single" w:color="auto" w:sz="4" w:space="0"/>
              <w:left w:val="single" w:color="auto" w:sz="4" w:space="0"/>
              <w:bottom w:val="single" w:color="auto" w:sz="4" w:space="0"/>
              <w:right w:val="single" w:color="auto" w:sz="4" w:space="0"/>
            </w:tcBorders>
            <w:vAlign w:val="center"/>
          </w:tcPr>
          <w:p w14:paraId="54B9D7F7">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需要进行数字化改造的住宅数量（栋）</w:t>
            </w:r>
          </w:p>
        </w:tc>
        <w:tc>
          <w:tcPr>
            <w:tcW w:w="9388" w:type="dxa"/>
            <w:tcBorders>
              <w:top w:val="single" w:color="auto" w:sz="4" w:space="0"/>
              <w:left w:val="single" w:color="auto" w:sz="4" w:space="0"/>
              <w:bottom w:val="single" w:color="auto" w:sz="4" w:space="0"/>
              <w:right w:val="single" w:color="auto" w:sz="4" w:space="0"/>
            </w:tcBorders>
            <w:vAlign w:val="center"/>
          </w:tcPr>
          <w:p w14:paraId="3F292CBD">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按照住房和城乡建设部等部门《关于加快发展数字家庭 提高居住品质的指导意见》要求，查找既有住宅中网络基础设施、安防监测设备、高层住宅烟雾报警器等智能产品设置存在的问题。针对有需要的老年人、残疾人家庭，查找在健康管理、紧急呼叫等智能产品设置方面存在的问题。</w:t>
            </w:r>
          </w:p>
        </w:tc>
      </w:tr>
      <w:tr w14:paraId="611A6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restart"/>
            <w:tcBorders>
              <w:top w:val="single" w:color="auto" w:sz="4" w:space="0"/>
              <w:left w:val="single" w:color="auto" w:sz="4" w:space="0"/>
              <w:right w:val="single" w:color="auto" w:sz="4" w:space="0"/>
            </w:tcBorders>
            <w:vAlign w:val="center"/>
          </w:tcPr>
          <w:p w14:paraId="1AB74E71">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sz w:val="24"/>
                <w:szCs w:val="24"/>
              </w:rPr>
              <w:t>小区（社区）</w:t>
            </w:r>
          </w:p>
        </w:tc>
        <w:tc>
          <w:tcPr>
            <w:tcW w:w="842" w:type="dxa"/>
            <w:vMerge w:val="restart"/>
            <w:tcBorders>
              <w:top w:val="single" w:color="auto" w:sz="4" w:space="0"/>
              <w:left w:val="single" w:color="auto" w:sz="4" w:space="0"/>
              <w:right w:val="single" w:color="auto" w:sz="4" w:space="0"/>
            </w:tcBorders>
            <w:vAlign w:val="center"/>
          </w:tcPr>
          <w:p w14:paraId="1509FF95">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kern w:val="0"/>
                <w:sz w:val="24"/>
                <w:szCs w:val="24"/>
                <w:lang w:bidi="ar"/>
              </w:rPr>
              <w:t>设施</w:t>
            </w:r>
          </w:p>
          <w:p w14:paraId="3E068AF9">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kern w:val="0"/>
                <w:sz w:val="24"/>
                <w:szCs w:val="24"/>
                <w:lang w:bidi="ar"/>
              </w:rPr>
              <w:t>完善</w:t>
            </w:r>
          </w:p>
        </w:tc>
        <w:tc>
          <w:tcPr>
            <w:tcW w:w="809" w:type="dxa"/>
            <w:tcBorders>
              <w:top w:val="single" w:color="auto" w:sz="4" w:space="0"/>
              <w:left w:val="single" w:color="auto" w:sz="4" w:space="0"/>
              <w:bottom w:val="single" w:color="auto" w:sz="4" w:space="0"/>
              <w:right w:val="single" w:color="auto" w:sz="4" w:space="0"/>
            </w:tcBorders>
            <w:vAlign w:val="center"/>
          </w:tcPr>
          <w:p w14:paraId="6E8F7B42">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11</w:t>
            </w:r>
          </w:p>
        </w:tc>
        <w:tc>
          <w:tcPr>
            <w:tcW w:w="2691" w:type="dxa"/>
            <w:tcBorders>
              <w:top w:val="single" w:color="auto" w:sz="4" w:space="0"/>
              <w:left w:val="single" w:color="auto" w:sz="4" w:space="0"/>
              <w:bottom w:val="single" w:color="auto" w:sz="4" w:space="0"/>
              <w:right w:val="single" w:color="auto" w:sz="4" w:space="0"/>
            </w:tcBorders>
            <w:vAlign w:val="center"/>
          </w:tcPr>
          <w:p w14:paraId="304810F3">
            <w:pPr>
              <w:pStyle w:val="64"/>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未达标配建的养老服务设施数量（个）</w:t>
            </w:r>
          </w:p>
        </w:tc>
        <w:tc>
          <w:tcPr>
            <w:tcW w:w="9388" w:type="dxa"/>
            <w:tcBorders>
              <w:top w:val="single" w:color="auto" w:sz="4" w:space="0"/>
              <w:left w:val="single" w:color="auto" w:sz="4" w:space="0"/>
              <w:bottom w:val="single" w:color="auto" w:sz="4" w:space="0"/>
              <w:right w:val="single" w:color="auto" w:sz="4" w:space="0"/>
            </w:tcBorders>
            <w:vAlign w:val="center"/>
          </w:tcPr>
          <w:p w14:paraId="15507903">
            <w:pPr>
              <w:pStyle w:val="64"/>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按照《社区老年人日间照料中心建设标准》《完整居住社区建设标准（试行）》等标准，查找社区养老服务设施配建缺失，以及生活照料、康复护理、助餐助行、上门照护、文化娱乐等养老服务不健全的问题。</w:t>
            </w:r>
          </w:p>
        </w:tc>
      </w:tr>
      <w:tr w14:paraId="77C91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continue"/>
            <w:tcBorders>
              <w:left w:val="single" w:color="auto" w:sz="4" w:space="0"/>
              <w:right w:val="single" w:color="auto" w:sz="4" w:space="0"/>
            </w:tcBorders>
            <w:vAlign w:val="center"/>
          </w:tcPr>
          <w:p w14:paraId="52AE69C2">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tcBorders>
              <w:left w:val="single" w:color="auto" w:sz="4" w:space="0"/>
              <w:right w:val="single" w:color="auto" w:sz="4" w:space="0"/>
            </w:tcBorders>
            <w:vAlign w:val="center"/>
          </w:tcPr>
          <w:p w14:paraId="13ECE449">
            <w:pPr>
              <w:spacing w:line="400" w:lineRule="exact"/>
              <w:jc w:val="center"/>
              <w:rPr>
                <w:rFonts w:hint="default" w:ascii="Times New Roman" w:hAnsi="Times New Roman" w:eastAsia="仿宋_GB2312" w:cs="Times New Roman"/>
                <w:b/>
                <w:bCs/>
                <w:kern w:val="0"/>
                <w:sz w:val="24"/>
                <w:szCs w:val="24"/>
                <w:lang w:bidi="ar"/>
              </w:rPr>
            </w:pPr>
          </w:p>
        </w:tc>
        <w:tc>
          <w:tcPr>
            <w:tcW w:w="809" w:type="dxa"/>
            <w:tcBorders>
              <w:top w:val="single" w:color="auto" w:sz="4" w:space="0"/>
              <w:left w:val="single" w:color="auto" w:sz="4" w:space="0"/>
              <w:bottom w:val="single" w:color="auto" w:sz="4" w:space="0"/>
              <w:right w:val="single" w:color="auto" w:sz="4" w:space="0"/>
            </w:tcBorders>
            <w:vAlign w:val="center"/>
          </w:tcPr>
          <w:p w14:paraId="7606FFFE">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12</w:t>
            </w:r>
          </w:p>
        </w:tc>
        <w:tc>
          <w:tcPr>
            <w:tcW w:w="2691" w:type="dxa"/>
            <w:tcBorders>
              <w:top w:val="single" w:color="auto" w:sz="4" w:space="0"/>
              <w:left w:val="single" w:color="auto" w:sz="4" w:space="0"/>
              <w:bottom w:val="single" w:color="auto" w:sz="4" w:space="0"/>
              <w:right w:val="single" w:color="auto" w:sz="4" w:space="0"/>
            </w:tcBorders>
            <w:vAlign w:val="center"/>
          </w:tcPr>
          <w:p w14:paraId="711F2E7C">
            <w:pPr>
              <w:pStyle w:val="64"/>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未达标配建的婴幼儿照护服务设施数量（个）</w:t>
            </w:r>
          </w:p>
        </w:tc>
        <w:tc>
          <w:tcPr>
            <w:tcW w:w="9388" w:type="dxa"/>
            <w:tcBorders>
              <w:top w:val="single" w:color="auto" w:sz="4" w:space="0"/>
              <w:left w:val="single" w:color="auto" w:sz="4" w:space="0"/>
              <w:bottom w:val="single" w:color="auto" w:sz="4" w:space="0"/>
              <w:right w:val="single" w:color="auto" w:sz="4" w:space="0"/>
            </w:tcBorders>
            <w:vAlign w:val="center"/>
          </w:tcPr>
          <w:p w14:paraId="7093B1B9">
            <w:pPr>
              <w:pStyle w:val="64"/>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按照《托育机构设置标准（试行）》《完整居住社区建设标准（试行）》等标准，查找婴幼儿照护服务设施配建缺失，以及对婴幼儿早期发展指导等照护服务不到位的问题。</w:t>
            </w:r>
          </w:p>
        </w:tc>
      </w:tr>
      <w:tr w14:paraId="1F51E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continue"/>
            <w:tcBorders>
              <w:left w:val="single" w:color="auto" w:sz="4" w:space="0"/>
              <w:right w:val="single" w:color="auto" w:sz="4" w:space="0"/>
            </w:tcBorders>
            <w:vAlign w:val="center"/>
          </w:tcPr>
          <w:p w14:paraId="52A971CB">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tcBorders>
              <w:left w:val="single" w:color="auto" w:sz="4" w:space="0"/>
              <w:right w:val="single" w:color="auto" w:sz="4" w:space="0"/>
            </w:tcBorders>
            <w:vAlign w:val="center"/>
          </w:tcPr>
          <w:p w14:paraId="272C1FD9">
            <w:pPr>
              <w:spacing w:line="400" w:lineRule="exact"/>
              <w:jc w:val="center"/>
              <w:rPr>
                <w:rFonts w:hint="default" w:ascii="Times New Roman" w:hAnsi="Times New Roman" w:eastAsia="仿宋_GB2312" w:cs="Times New Roman"/>
                <w:b/>
                <w:bCs/>
                <w:kern w:val="0"/>
                <w:sz w:val="24"/>
                <w:szCs w:val="24"/>
                <w:lang w:bidi="ar"/>
              </w:rPr>
            </w:pPr>
          </w:p>
        </w:tc>
        <w:tc>
          <w:tcPr>
            <w:tcW w:w="809" w:type="dxa"/>
            <w:tcBorders>
              <w:top w:val="single" w:color="auto" w:sz="4" w:space="0"/>
              <w:left w:val="single" w:color="auto" w:sz="4" w:space="0"/>
              <w:bottom w:val="single" w:color="auto" w:sz="4" w:space="0"/>
              <w:right w:val="single" w:color="auto" w:sz="4" w:space="0"/>
            </w:tcBorders>
            <w:vAlign w:val="center"/>
          </w:tcPr>
          <w:p w14:paraId="7D9FFB85">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13</w:t>
            </w:r>
          </w:p>
        </w:tc>
        <w:tc>
          <w:tcPr>
            <w:tcW w:w="2691" w:type="dxa"/>
            <w:tcBorders>
              <w:top w:val="single" w:color="auto" w:sz="4" w:space="0"/>
              <w:left w:val="single" w:color="auto" w:sz="4" w:space="0"/>
              <w:bottom w:val="single" w:color="auto" w:sz="4" w:space="0"/>
              <w:right w:val="single" w:color="auto" w:sz="4" w:space="0"/>
            </w:tcBorders>
            <w:vAlign w:val="center"/>
          </w:tcPr>
          <w:p w14:paraId="36CA71EF">
            <w:pPr>
              <w:pStyle w:val="64"/>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未达标配建的幼儿园数量（个）</w:t>
            </w:r>
          </w:p>
        </w:tc>
        <w:tc>
          <w:tcPr>
            <w:tcW w:w="9388" w:type="dxa"/>
            <w:tcBorders>
              <w:top w:val="single" w:color="auto" w:sz="4" w:space="0"/>
              <w:left w:val="single" w:color="auto" w:sz="4" w:space="0"/>
              <w:bottom w:val="single" w:color="auto" w:sz="4" w:space="0"/>
              <w:right w:val="single" w:color="auto" w:sz="4" w:space="0"/>
            </w:tcBorders>
            <w:vAlign w:val="center"/>
          </w:tcPr>
          <w:p w14:paraId="6BE2CB49">
            <w:pPr>
              <w:pStyle w:val="64"/>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按照《幼儿园建设标准》《完整居住社区建设标准（试行）》等标准，查找幼儿园配建缺失，以及普惠性学前教育服务不到位的问题。</w:t>
            </w:r>
          </w:p>
        </w:tc>
      </w:tr>
      <w:tr w14:paraId="2F324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0" w:type="auto"/>
            <w:vMerge w:val="continue"/>
            <w:tcBorders>
              <w:left w:val="single" w:color="auto" w:sz="4" w:space="0"/>
              <w:right w:val="single" w:color="auto" w:sz="4" w:space="0"/>
            </w:tcBorders>
            <w:vAlign w:val="center"/>
          </w:tcPr>
          <w:p w14:paraId="06447FD7">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tcBorders>
              <w:left w:val="single" w:color="auto" w:sz="4" w:space="0"/>
              <w:right w:val="single" w:color="auto" w:sz="4" w:space="0"/>
            </w:tcBorders>
            <w:vAlign w:val="center"/>
          </w:tcPr>
          <w:p w14:paraId="4C9DAC13">
            <w:pPr>
              <w:spacing w:line="400" w:lineRule="exact"/>
              <w:jc w:val="center"/>
              <w:rPr>
                <w:rFonts w:hint="default" w:ascii="Times New Roman" w:hAnsi="Times New Roman" w:eastAsia="仿宋_GB2312" w:cs="Times New Roman"/>
                <w:b/>
                <w:bCs/>
                <w:kern w:val="0"/>
                <w:sz w:val="24"/>
                <w:szCs w:val="24"/>
                <w:lang w:bidi="ar"/>
              </w:rPr>
            </w:pPr>
          </w:p>
        </w:tc>
        <w:tc>
          <w:tcPr>
            <w:tcW w:w="809" w:type="dxa"/>
            <w:tcBorders>
              <w:top w:val="single" w:color="auto" w:sz="4" w:space="0"/>
              <w:left w:val="single" w:color="auto" w:sz="4" w:space="0"/>
              <w:bottom w:val="single" w:color="auto" w:sz="4" w:space="0"/>
              <w:right w:val="single" w:color="auto" w:sz="4" w:space="0"/>
            </w:tcBorders>
            <w:vAlign w:val="center"/>
          </w:tcPr>
          <w:p w14:paraId="5BF27C5C">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14</w:t>
            </w:r>
          </w:p>
        </w:tc>
        <w:tc>
          <w:tcPr>
            <w:tcW w:w="2691" w:type="dxa"/>
            <w:tcBorders>
              <w:top w:val="single" w:color="auto" w:sz="4" w:space="0"/>
              <w:left w:val="single" w:color="auto" w:sz="4" w:space="0"/>
              <w:bottom w:val="single" w:color="auto" w:sz="4" w:space="0"/>
              <w:right w:val="single" w:color="auto" w:sz="4" w:space="0"/>
            </w:tcBorders>
            <w:vAlign w:val="center"/>
          </w:tcPr>
          <w:p w14:paraId="6C71BD6E">
            <w:pPr>
              <w:pStyle w:val="64"/>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小学学位缺口数（个）</w:t>
            </w:r>
          </w:p>
        </w:tc>
        <w:tc>
          <w:tcPr>
            <w:tcW w:w="9388" w:type="dxa"/>
            <w:tcBorders>
              <w:top w:val="single" w:color="auto" w:sz="4" w:space="0"/>
              <w:left w:val="single" w:color="auto" w:sz="4" w:space="0"/>
              <w:bottom w:val="single" w:color="auto" w:sz="4" w:space="0"/>
              <w:right w:val="single" w:color="auto" w:sz="4" w:space="0"/>
            </w:tcBorders>
            <w:vAlign w:val="center"/>
          </w:tcPr>
          <w:p w14:paraId="2699022C">
            <w:pPr>
              <w:pStyle w:val="64"/>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以小学500米服务半径覆盖范围为原则，查找小学学位供给与适龄儿童就近入学需求方面的差距和不足。</w:t>
            </w:r>
          </w:p>
        </w:tc>
      </w:tr>
      <w:tr w14:paraId="1233F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continue"/>
            <w:tcBorders>
              <w:left w:val="single" w:color="auto" w:sz="4" w:space="0"/>
              <w:right w:val="single" w:color="auto" w:sz="4" w:space="0"/>
            </w:tcBorders>
            <w:vAlign w:val="center"/>
          </w:tcPr>
          <w:p w14:paraId="1077C4F2">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tcBorders>
              <w:left w:val="single" w:color="auto" w:sz="4" w:space="0"/>
              <w:right w:val="single" w:color="auto" w:sz="4" w:space="0"/>
            </w:tcBorders>
            <w:vAlign w:val="center"/>
          </w:tcPr>
          <w:p w14:paraId="4E0F8C6F">
            <w:pPr>
              <w:spacing w:line="400" w:lineRule="exact"/>
              <w:jc w:val="center"/>
              <w:rPr>
                <w:rFonts w:hint="default" w:ascii="Times New Roman" w:hAnsi="Times New Roman" w:eastAsia="仿宋_GB2312" w:cs="Times New Roman"/>
                <w:b/>
                <w:bCs/>
                <w:kern w:val="0"/>
                <w:sz w:val="24"/>
                <w:szCs w:val="24"/>
                <w:lang w:bidi="ar"/>
              </w:rPr>
            </w:pPr>
          </w:p>
        </w:tc>
        <w:tc>
          <w:tcPr>
            <w:tcW w:w="809" w:type="dxa"/>
            <w:tcBorders>
              <w:top w:val="single" w:color="auto" w:sz="4" w:space="0"/>
              <w:left w:val="single" w:color="auto" w:sz="4" w:space="0"/>
              <w:right w:val="single" w:color="auto" w:sz="4" w:space="0"/>
            </w:tcBorders>
            <w:vAlign w:val="center"/>
          </w:tcPr>
          <w:p w14:paraId="4E21FFBA">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15</w:t>
            </w:r>
          </w:p>
        </w:tc>
        <w:tc>
          <w:tcPr>
            <w:tcW w:w="2691" w:type="dxa"/>
            <w:tcBorders>
              <w:top w:val="single" w:color="auto" w:sz="4" w:space="0"/>
              <w:left w:val="single" w:color="auto" w:sz="4" w:space="0"/>
              <w:bottom w:val="single" w:color="auto" w:sz="4" w:space="0"/>
              <w:right w:val="single" w:color="auto" w:sz="4" w:space="0"/>
            </w:tcBorders>
            <w:vAlign w:val="center"/>
          </w:tcPr>
          <w:p w14:paraId="5B80E841">
            <w:pPr>
              <w:pStyle w:val="64"/>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停车泊位缺口数（个）</w:t>
            </w:r>
          </w:p>
        </w:tc>
        <w:tc>
          <w:tcPr>
            <w:tcW w:w="9388" w:type="dxa"/>
            <w:tcBorders>
              <w:top w:val="single" w:color="auto" w:sz="4" w:space="0"/>
              <w:left w:val="single" w:color="auto" w:sz="4" w:space="0"/>
              <w:bottom w:val="single" w:color="auto" w:sz="4" w:space="0"/>
              <w:right w:val="single" w:color="auto" w:sz="4" w:space="0"/>
            </w:tcBorders>
            <w:vAlign w:val="center"/>
          </w:tcPr>
          <w:p w14:paraId="58BF1553">
            <w:pPr>
              <w:pStyle w:val="64"/>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按照《城市停车规划规范》《完整居住社区建设标准（试行）》等标准，查找现有停车泊位与小区居民停车需求的差距，以及停车占用消防通道等方面的问题。</w:t>
            </w:r>
          </w:p>
        </w:tc>
      </w:tr>
      <w:tr w14:paraId="7028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continue"/>
            <w:tcBorders>
              <w:left w:val="single" w:color="auto" w:sz="4" w:space="0"/>
              <w:right w:val="single" w:color="auto" w:sz="4" w:space="0"/>
            </w:tcBorders>
            <w:vAlign w:val="center"/>
          </w:tcPr>
          <w:p w14:paraId="104D1EEB">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tcBorders>
              <w:left w:val="single" w:color="auto" w:sz="4" w:space="0"/>
              <w:right w:val="single" w:color="auto" w:sz="4" w:space="0"/>
            </w:tcBorders>
            <w:vAlign w:val="center"/>
          </w:tcPr>
          <w:p w14:paraId="48C7BFE0">
            <w:pPr>
              <w:spacing w:line="400" w:lineRule="exact"/>
              <w:jc w:val="center"/>
              <w:rPr>
                <w:rFonts w:hint="default" w:ascii="Times New Roman" w:hAnsi="Times New Roman" w:eastAsia="仿宋_GB2312" w:cs="Times New Roman"/>
                <w:b/>
                <w:bCs/>
                <w:kern w:val="0"/>
                <w:sz w:val="24"/>
                <w:szCs w:val="24"/>
                <w:lang w:bidi="ar"/>
              </w:rPr>
            </w:pPr>
          </w:p>
        </w:tc>
        <w:tc>
          <w:tcPr>
            <w:tcW w:w="809" w:type="dxa"/>
            <w:tcBorders>
              <w:top w:val="single" w:color="auto" w:sz="4" w:space="0"/>
              <w:left w:val="single" w:color="auto" w:sz="4" w:space="0"/>
              <w:right w:val="single" w:color="auto" w:sz="4" w:space="0"/>
            </w:tcBorders>
            <w:vAlign w:val="center"/>
          </w:tcPr>
          <w:p w14:paraId="43C0640F">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16</w:t>
            </w:r>
          </w:p>
        </w:tc>
        <w:tc>
          <w:tcPr>
            <w:tcW w:w="2691" w:type="dxa"/>
            <w:tcBorders>
              <w:top w:val="single" w:color="auto" w:sz="4" w:space="0"/>
              <w:left w:val="single" w:color="auto" w:sz="4" w:space="0"/>
              <w:bottom w:val="single" w:color="auto" w:sz="4" w:space="0"/>
              <w:right w:val="single" w:color="auto" w:sz="4" w:space="0"/>
            </w:tcBorders>
            <w:vAlign w:val="center"/>
          </w:tcPr>
          <w:p w14:paraId="1A5C273B">
            <w:pPr>
              <w:pStyle w:val="64"/>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新能源汽车充电桩缺口数（个）</w:t>
            </w:r>
          </w:p>
        </w:tc>
        <w:tc>
          <w:tcPr>
            <w:tcW w:w="9388" w:type="dxa"/>
            <w:tcBorders>
              <w:top w:val="single" w:color="auto" w:sz="4" w:space="0"/>
              <w:left w:val="single" w:color="auto" w:sz="4" w:space="0"/>
              <w:bottom w:val="single" w:color="auto" w:sz="4" w:space="0"/>
              <w:right w:val="single" w:color="auto" w:sz="4" w:space="0"/>
            </w:tcBorders>
            <w:vAlign w:val="center"/>
          </w:tcPr>
          <w:p w14:paraId="4289E651">
            <w:pPr>
              <w:pStyle w:val="64"/>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按照《电动汽车分散充电设施工程技术标准》《完整居住社区建设标准（试行）》等标准，查找现有充电桩供给能力与小区居民新能源汽车充电需求的差距，以及充电桩在安装、使用、运维过程中存在的问题。</w:t>
            </w:r>
          </w:p>
        </w:tc>
      </w:tr>
      <w:tr w14:paraId="2A8AA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continue"/>
            <w:tcBorders>
              <w:left w:val="single" w:color="auto" w:sz="4" w:space="0"/>
              <w:right w:val="single" w:color="auto" w:sz="4" w:space="0"/>
            </w:tcBorders>
            <w:vAlign w:val="center"/>
          </w:tcPr>
          <w:p w14:paraId="195D7F2E">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restart"/>
            <w:tcBorders>
              <w:top w:val="single" w:color="auto" w:sz="4" w:space="0"/>
              <w:left w:val="single" w:color="auto" w:sz="4" w:space="0"/>
              <w:right w:val="single" w:color="auto" w:sz="4" w:space="0"/>
            </w:tcBorders>
            <w:vAlign w:val="center"/>
          </w:tcPr>
          <w:p w14:paraId="270C668F">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kern w:val="0"/>
                <w:sz w:val="24"/>
                <w:szCs w:val="24"/>
                <w:lang w:bidi="ar"/>
              </w:rPr>
              <w:t>环境</w:t>
            </w:r>
          </w:p>
          <w:p w14:paraId="404C48AD">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kern w:val="0"/>
                <w:sz w:val="24"/>
                <w:szCs w:val="24"/>
                <w:lang w:bidi="ar"/>
              </w:rPr>
              <w:t>宜居</w:t>
            </w:r>
          </w:p>
        </w:tc>
        <w:tc>
          <w:tcPr>
            <w:tcW w:w="809" w:type="dxa"/>
            <w:tcBorders>
              <w:top w:val="single" w:color="auto" w:sz="4" w:space="0"/>
              <w:left w:val="single" w:color="auto" w:sz="4" w:space="0"/>
              <w:bottom w:val="single" w:color="auto" w:sz="4" w:space="0"/>
              <w:right w:val="single" w:color="auto" w:sz="4" w:space="0"/>
            </w:tcBorders>
            <w:vAlign w:val="center"/>
          </w:tcPr>
          <w:p w14:paraId="2C1C41B0">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17</w:t>
            </w:r>
          </w:p>
        </w:tc>
        <w:tc>
          <w:tcPr>
            <w:tcW w:w="2691" w:type="dxa"/>
            <w:tcBorders>
              <w:top w:val="single" w:color="auto" w:sz="4" w:space="0"/>
              <w:left w:val="single" w:color="auto" w:sz="4" w:space="0"/>
              <w:bottom w:val="single" w:color="auto" w:sz="4" w:space="0"/>
              <w:right w:val="single" w:color="auto" w:sz="4" w:space="0"/>
            </w:tcBorders>
            <w:vAlign w:val="center"/>
          </w:tcPr>
          <w:p w14:paraId="69000FCA">
            <w:pPr>
              <w:pStyle w:val="64"/>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未达标配建的公共活动场地数量（个）</w:t>
            </w:r>
          </w:p>
        </w:tc>
        <w:tc>
          <w:tcPr>
            <w:tcW w:w="9388" w:type="dxa"/>
            <w:tcBorders>
              <w:top w:val="single" w:color="auto" w:sz="4" w:space="0"/>
              <w:left w:val="single" w:color="auto" w:sz="4" w:space="0"/>
              <w:bottom w:val="single" w:color="auto" w:sz="4" w:space="0"/>
              <w:right w:val="single" w:color="auto" w:sz="4" w:space="0"/>
            </w:tcBorders>
            <w:vAlign w:val="center"/>
          </w:tcPr>
          <w:p w14:paraId="714E6280">
            <w:pPr>
              <w:pStyle w:val="64"/>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城市居住区规划设计标准》《完整居住社区建设标准（试行）》等标准，查找社区公共活动场地、公共绿地面积不达标，配套的儿童娱乐、老年活动、体育健身等设施设备不充足或破损，不符合无障碍设计要求，以及存在私搭乱建等问题。</w:t>
            </w:r>
          </w:p>
        </w:tc>
      </w:tr>
      <w:tr w14:paraId="44A83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continue"/>
            <w:tcBorders>
              <w:left w:val="single" w:color="auto" w:sz="4" w:space="0"/>
              <w:right w:val="single" w:color="auto" w:sz="4" w:space="0"/>
            </w:tcBorders>
            <w:vAlign w:val="center"/>
          </w:tcPr>
          <w:p w14:paraId="714BF8CD">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tcBorders>
              <w:left w:val="single" w:color="auto" w:sz="4" w:space="0"/>
              <w:right w:val="single" w:color="auto" w:sz="4" w:space="0"/>
            </w:tcBorders>
            <w:vAlign w:val="center"/>
          </w:tcPr>
          <w:p w14:paraId="7FA463DE">
            <w:pPr>
              <w:spacing w:line="400" w:lineRule="exact"/>
              <w:jc w:val="center"/>
              <w:rPr>
                <w:rFonts w:hint="default" w:ascii="Times New Roman" w:hAnsi="Times New Roman" w:eastAsia="仿宋_GB2312" w:cs="Times New Roman"/>
                <w:b/>
                <w:bCs/>
                <w:kern w:val="0"/>
                <w:sz w:val="24"/>
                <w:szCs w:val="24"/>
                <w:lang w:bidi="ar"/>
              </w:rPr>
            </w:pPr>
          </w:p>
        </w:tc>
        <w:tc>
          <w:tcPr>
            <w:tcW w:w="809" w:type="dxa"/>
            <w:tcBorders>
              <w:top w:val="single" w:color="auto" w:sz="4" w:space="0"/>
              <w:left w:val="single" w:color="auto" w:sz="4" w:space="0"/>
              <w:bottom w:val="single" w:color="auto" w:sz="4" w:space="0"/>
              <w:right w:val="single" w:color="auto" w:sz="4" w:space="0"/>
            </w:tcBorders>
            <w:vAlign w:val="center"/>
          </w:tcPr>
          <w:p w14:paraId="195A5ACE">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18</w:t>
            </w:r>
          </w:p>
        </w:tc>
        <w:tc>
          <w:tcPr>
            <w:tcW w:w="2691" w:type="dxa"/>
            <w:tcBorders>
              <w:top w:val="single" w:color="auto" w:sz="4" w:space="0"/>
              <w:left w:val="single" w:color="auto" w:sz="4" w:space="0"/>
              <w:bottom w:val="single" w:color="auto" w:sz="4" w:space="0"/>
              <w:right w:val="single" w:color="auto" w:sz="4" w:space="0"/>
            </w:tcBorders>
            <w:vAlign w:val="center"/>
          </w:tcPr>
          <w:p w14:paraId="76F17333">
            <w:pPr>
              <w:pStyle w:val="64"/>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不达标的步行道长度（千米）</w:t>
            </w:r>
          </w:p>
        </w:tc>
        <w:tc>
          <w:tcPr>
            <w:tcW w:w="9388" w:type="dxa"/>
            <w:tcBorders>
              <w:top w:val="single" w:color="auto" w:sz="4" w:space="0"/>
              <w:left w:val="single" w:color="auto" w:sz="4" w:space="0"/>
              <w:bottom w:val="single" w:color="auto" w:sz="4" w:space="0"/>
              <w:right w:val="single" w:color="auto" w:sz="4" w:space="0"/>
            </w:tcBorders>
            <w:vAlign w:val="center"/>
          </w:tcPr>
          <w:p w14:paraId="6C01DF04">
            <w:pPr>
              <w:pStyle w:val="64"/>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建筑与市政工程无障碍通用规范》《完整居住社区建设标准（试行）》等标准，查找人行道路面破损、宽度不足、雨后积水、夜间照明不足、铺装不防滑，不能联贯住宅和各类服务设施，以及不符合无障碍设计要求等问题。</w:t>
            </w:r>
          </w:p>
        </w:tc>
      </w:tr>
      <w:tr w14:paraId="60419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0" w:type="auto"/>
            <w:vMerge w:val="continue"/>
            <w:tcBorders>
              <w:left w:val="single" w:color="auto" w:sz="4" w:space="0"/>
              <w:right w:val="single" w:color="auto" w:sz="4" w:space="0"/>
            </w:tcBorders>
            <w:vAlign w:val="center"/>
          </w:tcPr>
          <w:p w14:paraId="70B760E5">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tcBorders>
              <w:left w:val="single" w:color="auto" w:sz="4" w:space="0"/>
              <w:right w:val="single" w:color="auto" w:sz="4" w:space="0"/>
            </w:tcBorders>
            <w:vAlign w:val="center"/>
          </w:tcPr>
          <w:p w14:paraId="73E9C57F">
            <w:pPr>
              <w:spacing w:line="400" w:lineRule="exact"/>
              <w:jc w:val="center"/>
              <w:rPr>
                <w:rFonts w:hint="default" w:ascii="Times New Roman" w:hAnsi="Times New Roman" w:eastAsia="仿宋_GB2312" w:cs="Times New Roman"/>
                <w:b/>
                <w:bCs/>
                <w:kern w:val="0"/>
                <w:sz w:val="24"/>
                <w:szCs w:val="24"/>
                <w:lang w:bidi="ar"/>
              </w:rPr>
            </w:pPr>
          </w:p>
        </w:tc>
        <w:tc>
          <w:tcPr>
            <w:tcW w:w="809" w:type="dxa"/>
            <w:tcBorders>
              <w:top w:val="single" w:color="auto" w:sz="4" w:space="0"/>
              <w:left w:val="single" w:color="auto" w:sz="4" w:space="0"/>
              <w:bottom w:val="single" w:color="auto" w:sz="4" w:space="0"/>
              <w:right w:val="single" w:color="auto" w:sz="4" w:space="0"/>
            </w:tcBorders>
            <w:vAlign w:val="center"/>
          </w:tcPr>
          <w:p w14:paraId="7C5AE498">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19</w:t>
            </w:r>
          </w:p>
        </w:tc>
        <w:tc>
          <w:tcPr>
            <w:tcW w:w="2691" w:type="dxa"/>
            <w:tcBorders>
              <w:top w:val="single" w:color="auto" w:sz="4" w:space="0"/>
              <w:left w:val="single" w:color="auto" w:sz="4" w:space="0"/>
              <w:bottom w:val="single" w:color="auto" w:sz="4" w:space="0"/>
              <w:right w:val="single" w:color="auto" w:sz="4" w:space="0"/>
            </w:tcBorders>
            <w:vAlign w:val="center"/>
          </w:tcPr>
          <w:p w14:paraId="2EFADB51">
            <w:pPr>
              <w:pStyle w:val="64"/>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未实施生活垃圾分类的小区数量（个）</w:t>
            </w:r>
          </w:p>
        </w:tc>
        <w:tc>
          <w:tcPr>
            <w:tcW w:w="9388" w:type="dxa"/>
            <w:tcBorders>
              <w:top w:val="single" w:color="auto" w:sz="4" w:space="0"/>
              <w:left w:val="single" w:color="auto" w:sz="4" w:space="0"/>
              <w:bottom w:val="single" w:color="auto" w:sz="4" w:space="0"/>
              <w:right w:val="single" w:color="auto" w:sz="4" w:space="0"/>
            </w:tcBorders>
            <w:vAlign w:val="center"/>
          </w:tcPr>
          <w:p w14:paraId="40046C3C">
            <w:pPr>
              <w:pStyle w:val="64"/>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按照住房和城乡建设部等部门《关于进一步推进生活垃圾分类工作的若干意见》要求，查找没有实行垃圾分类制度，未建立分类投放、分类收集、分类运输、分类处理系统等方面的问题。</w:t>
            </w:r>
          </w:p>
        </w:tc>
      </w:tr>
      <w:tr w14:paraId="132EF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continue"/>
            <w:tcBorders>
              <w:left w:val="single" w:color="auto" w:sz="4" w:space="0"/>
              <w:right w:val="single" w:color="auto" w:sz="4" w:space="0"/>
            </w:tcBorders>
            <w:vAlign w:val="center"/>
          </w:tcPr>
          <w:p w14:paraId="59416633">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restart"/>
            <w:tcBorders>
              <w:top w:val="single" w:color="auto" w:sz="4" w:space="0"/>
              <w:left w:val="single" w:color="auto" w:sz="4" w:space="0"/>
              <w:right w:val="single" w:color="auto" w:sz="4" w:space="0"/>
            </w:tcBorders>
            <w:vAlign w:val="center"/>
          </w:tcPr>
          <w:p w14:paraId="670957DC">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kern w:val="0"/>
                <w:sz w:val="24"/>
                <w:szCs w:val="24"/>
                <w:lang w:bidi="ar"/>
              </w:rPr>
              <w:t>管理</w:t>
            </w:r>
          </w:p>
          <w:p w14:paraId="7E7DF32D">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kern w:val="0"/>
                <w:sz w:val="24"/>
                <w:szCs w:val="24"/>
                <w:lang w:bidi="ar"/>
              </w:rPr>
              <w:t>健全</w:t>
            </w:r>
          </w:p>
        </w:tc>
        <w:tc>
          <w:tcPr>
            <w:tcW w:w="809" w:type="dxa"/>
            <w:tcBorders>
              <w:top w:val="single" w:color="auto" w:sz="4" w:space="0"/>
              <w:left w:val="single" w:color="auto" w:sz="4" w:space="0"/>
              <w:bottom w:val="single" w:color="auto" w:sz="4" w:space="0"/>
              <w:right w:val="single" w:color="auto" w:sz="4" w:space="0"/>
            </w:tcBorders>
            <w:vAlign w:val="center"/>
          </w:tcPr>
          <w:p w14:paraId="1C9B10C5">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20</w:t>
            </w:r>
          </w:p>
        </w:tc>
        <w:tc>
          <w:tcPr>
            <w:tcW w:w="2691" w:type="dxa"/>
            <w:tcBorders>
              <w:top w:val="single" w:color="auto" w:sz="4" w:space="0"/>
              <w:left w:val="single" w:color="auto" w:sz="4" w:space="0"/>
              <w:bottom w:val="single" w:color="auto" w:sz="4" w:space="0"/>
              <w:right w:val="single" w:color="auto" w:sz="4" w:space="0"/>
            </w:tcBorders>
            <w:vAlign w:val="center"/>
          </w:tcPr>
          <w:p w14:paraId="7626026D">
            <w:pPr>
              <w:pStyle w:val="64"/>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未实施好物业管理的小区数量（个）</w:t>
            </w:r>
          </w:p>
        </w:tc>
        <w:tc>
          <w:tcPr>
            <w:tcW w:w="9388" w:type="dxa"/>
            <w:tcBorders>
              <w:top w:val="single" w:color="auto" w:sz="4" w:space="0"/>
              <w:left w:val="single" w:color="auto" w:sz="4" w:space="0"/>
              <w:bottom w:val="single" w:color="auto" w:sz="4" w:space="0"/>
              <w:right w:val="single" w:color="auto" w:sz="4" w:space="0"/>
            </w:tcBorders>
            <w:vAlign w:val="center"/>
          </w:tcPr>
          <w:p w14:paraId="5DA73A15">
            <w:pPr>
              <w:pStyle w:val="64"/>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按照住房和城乡建设部等部门《关于加强和改进住宅物业管理工作的通知》要求，查找没有实施专业化物业管理，党建引领要求落实不到位，没有按照物业服务合同约定事项和标准提供服务等问题。</w:t>
            </w:r>
          </w:p>
        </w:tc>
      </w:tr>
      <w:tr w14:paraId="09B07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continue"/>
            <w:tcBorders>
              <w:left w:val="single" w:color="auto" w:sz="4" w:space="0"/>
              <w:right w:val="single" w:color="auto" w:sz="4" w:space="0"/>
            </w:tcBorders>
            <w:vAlign w:val="center"/>
          </w:tcPr>
          <w:p w14:paraId="49AB08E6">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tcBorders>
              <w:left w:val="single" w:color="auto" w:sz="4" w:space="0"/>
              <w:right w:val="single" w:color="auto" w:sz="4" w:space="0"/>
            </w:tcBorders>
            <w:vAlign w:val="center"/>
          </w:tcPr>
          <w:p w14:paraId="1EE0C7B9">
            <w:pPr>
              <w:spacing w:line="400" w:lineRule="exact"/>
              <w:jc w:val="center"/>
              <w:rPr>
                <w:rFonts w:hint="default" w:ascii="Times New Roman" w:hAnsi="Times New Roman" w:eastAsia="仿宋_GB2312" w:cs="Times New Roman"/>
                <w:b/>
                <w:bCs/>
                <w:kern w:val="0"/>
                <w:sz w:val="24"/>
                <w:szCs w:val="24"/>
                <w:lang w:bidi="ar"/>
              </w:rPr>
            </w:pPr>
          </w:p>
        </w:tc>
        <w:tc>
          <w:tcPr>
            <w:tcW w:w="809" w:type="dxa"/>
            <w:tcBorders>
              <w:top w:val="single" w:color="auto" w:sz="4" w:space="0"/>
              <w:left w:val="single" w:color="auto" w:sz="4" w:space="0"/>
              <w:bottom w:val="single" w:color="auto" w:sz="4" w:space="0"/>
              <w:right w:val="single" w:color="auto" w:sz="4" w:space="0"/>
            </w:tcBorders>
            <w:vAlign w:val="center"/>
          </w:tcPr>
          <w:p w14:paraId="4091BE56">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21</w:t>
            </w:r>
          </w:p>
        </w:tc>
        <w:tc>
          <w:tcPr>
            <w:tcW w:w="2691" w:type="dxa"/>
            <w:tcBorders>
              <w:top w:val="single" w:color="auto" w:sz="4" w:space="0"/>
              <w:left w:val="single" w:color="auto" w:sz="4" w:space="0"/>
              <w:bottom w:val="single" w:color="auto" w:sz="4" w:space="0"/>
              <w:right w:val="single" w:color="auto" w:sz="4" w:space="0"/>
            </w:tcBorders>
            <w:vAlign w:val="center"/>
          </w:tcPr>
          <w:p w14:paraId="7DDDFEA2">
            <w:pPr>
              <w:pStyle w:val="64"/>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需要进行智慧化改造的小区数量（个）</w:t>
            </w:r>
          </w:p>
        </w:tc>
        <w:tc>
          <w:tcPr>
            <w:tcW w:w="9388" w:type="dxa"/>
            <w:tcBorders>
              <w:top w:val="single" w:color="auto" w:sz="4" w:space="0"/>
              <w:left w:val="single" w:color="auto" w:sz="4" w:space="0"/>
              <w:bottom w:val="single" w:color="auto" w:sz="4" w:space="0"/>
              <w:right w:val="single" w:color="auto" w:sz="4" w:space="0"/>
            </w:tcBorders>
            <w:vAlign w:val="center"/>
          </w:tcPr>
          <w:p w14:paraId="299027BD">
            <w:pPr>
              <w:pStyle w:val="64"/>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民政部、住房和城乡建设部等部门《关于深入推进智慧社区建设的意见》要求，查找未安装智能信包箱、智能快递柜、智能安防设施及系统建设不完善等问题。有条件的，查找智慧社区综合信息平台建设、公共服务信息化建设等方面的差距和不足。</w:t>
            </w:r>
          </w:p>
        </w:tc>
      </w:tr>
      <w:tr w14:paraId="2AF8F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restart"/>
            <w:tcBorders>
              <w:left w:val="single" w:color="auto" w:sz="4" w:space="0"/>
              <w:right w:val="single" w:color="auto" w:sz="4" w:space="0"/>
            </w:tcBorders>
            <w:vAlign w:val="center"/>
          </w:tcPr>
          <w:p w14:paraId="277C655B">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sz w:val="24"/>
                <w:szCs w:val="24"/>
              </w:rPr>
              <w:t>街区</w:t>
            </w:r>
          </w:p>
        </w:tc>
        <w:tc>
          <w:tcPr>
            <w:tcW w:w="842" w:type="dxa"/>
            <w:vMerge w:val="restart"/>
            <w:tcBorders>
              <w:left w:val="single" w:color="auto" w:sz="4" w:space="0"/>
              <w:bottom w:val="single" w:color="auto" w:sz="4" w:space="0"/>
              <w:right w:val="single" w:color="auto" w:sz="4" w:space="0"/>
            </w:tcBorders>
            <w:vAlign w:val="center"/>
          </w:tcPr>
          <w:p w14:paraId="2C5852D1">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kern w:val="0"/>
                <w:sz w:val="24"/>
                <w:szCs w:val="24"/>
                <w:lang w:bidi="ar"/>
              </w:rPr>
              <w:t>功能</w:t>
            </w:r>
          </w:p>
          <w:p w14:paraId="269B8DDE">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kern w:val="0"/>
                <w:sz w:val="24"/>
                <w:szCs w:val="24"/>
                <w:lang w:bidi="ar"/>
              </w:rPr>
              <w:t>完善</w:t>
            </w:r>
          </w:p>
        </w:tc>
        <w:tc>
          <w:tcPr>
            <w:tcW w:w="809" w:type="dxa"/>
            <w:tcBorders>
              <w:top w:val="single" w:color="auto" w:sz="4" w:space="0"/>
              <w:left w:val="single" w:color="auto" w:sz="4" w:space="0"/>
              <w:bottom w:val="single" w:color="auto" w:sz="4" w:space="0"/>
              <w:right w:val="single" w:color="auto" w:sz="4" w:space="0"/>
            </w:tcBorders>
            <w:vAlign w:val="center"/>
          </w:tcPr>
          <w:p w14:paraId="42B93836">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22</w:t>
            </w:r>
          </w:p>
        </w:tc>
        <w:tc>
          <w:tcPr>
            <w:tcW w:w="2691" w:type="dxa"/>
            <w:tcBorders>
              <w:top w:val="single" w:color="auto" w:sz="4" w:space="0"/>
              <w:left w:val="single" w:color="auto" w:sz="4" w:space="0"/>
              <w:bottom w:val="single" w:color="auto" w:sz="4" w:space="0"/>
              <w:right w:val="single" w:color="auto" w:sz="4" w:space="0"/>
            </w:tcBorders>
            <w:vAlign w:val="center"/>
          </w:tcPr>
          <w:p w14:paraId="7BC31B85">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中学服务半径覆盖率（%）</w:t>
            </w:r>
          </w:p>
        </w:tc>
        <w:tc>
          <w:tcPr>
            <w:tcW w:w="9388" w:type="dxa"/>
            <w:tcBorders>
              <w:top w:val="single" w:color="auto" w:sz="4" w:space="0"/>
              <w:left w:val="single" w:color="auto" w:sz="4" w:space="0"/>
              <w:bottom w:val="single" w:color="auto" w:sz="4" w:space="0"/>
              <w:right w:val="single" w:color="auto" w:sz="4" w:space="0"/>
            </w:tcBorders>
            <w:vAlign w:val="center"/>
          </w:tcPr>
          <w:p w14:paraId="4841A300">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调查分析中学1公里服务半径覆盖的居住用地面积，占所在街道总居住用地面积的百分比，查找中学学位供给与适龄青少年就近入学需求方面的差距和不足。</w:t>
            </w:r>
          </w:p>
        </w:tc>
      </w:tr>
      <w:tr w14:paraId="57B8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continue"/>
            <w:tcBorders>
              <w:left w:val="single" w:color="auto" w:sz="4" w:space="0"/>
              <w:right w:val="single" w:color="auto" w:sz="4" w:space="0"/>
            </w:tcBorders>
            <w:vAlign w:val="center"/>
          </w:tcPr>
          <w:p w14:paraId="05342718">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73724C95">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5E55432C">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23</w:t>
            </w:r>
          </w:p>
        </w:tc>
        <w:tc>
          <w:tcPr>
            <w:tcW w:w="2691" w:type="dxa"/>
            <w:vAlign w:val="center"/>
          </w:tcPr>
          <w:p w14:paraId="6D9F250F">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未达标配建的多功能运动场地数量（个）</w:t>
            </w:r>
          </w:p>
        </w:tc>
        <w:tc>
          <w:tcPr>
            <w:tcW w:w="9388" w:type="dxa"/>
            <w:vAlign w:val="center"/>
          </w:tcPr>
          <w:p w14:paraId="2A66573D">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按照《城市社区多功能公共运动场配置要求》《城市居住区规划设计标准》要求，查找多功能运动场地配建缺失，或场地面积不足、设施设备不完善、布局不均衡，以及没有向公众开放等问题。</w:t>
            </w:r>
          </w:p>
        </w:tc>
      </w:tr>
      <w:tr w14:paraId="3516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continue"/>
            <w:tcBorders>
              <w:left w:val="single" w:color="auto" w:sz="4" w:space="0"/>
              <w:right w:val="single" w:color="auto" w:sz="4" w:space="0"/>
            </w:tcBorders>
            <w:vAlign w:val="center"/>
          </w:tcPr>
          <w:p w14:paraId="67EA01FE">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1B47BB46">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3F4350C5">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24</w:t>
            </w:r>
          </w:p>
        </w:tc>
        <w:tc>
          <w:tcPr>
            <w:tcW w:w="2691" w:type="dxa"/>
            <w:vAlign w:val="center"/>
          </w:tcPr>
          <w:p w14:paraId="36C2A393">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未达标配建的文化活动中心数量（个）</w:t>
            </w:r>
          </w:p>
        </w:tc>
        <w:tc>
          <w:tcPr>
            <w:tcW w:w="9388" w:type="dxa"/>
            <w:vAlign w:val="center"/>
          </w:tcPr>
          <w:p w14:paraId="594146F2">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按照《城市居住区规划设计标准》要求，查找文化活动中心配建缺失，或文化活动中心面积不足，青少年和老年活动设施、儿童之家服务功能不完善，布局不均衡，以及没有向公众开放等问题。</w:t>
            </w:r>
          </w:p>
        </w:tc>
      </w:tr>
      <w:tr w14:paraId="187AD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continue"/>
            <w:tcBorders>
              <w:left w:val="single" w:color="auto" w:sz="4" w:space="0"/>
              <w:right w:val="single" w:color="auto" w:sz="4" w:space="0"/>
            </w:tcBorders>
            <w:vAlign w:val="center"/>
          </w:tcPr>
          <w:p w14:paraId="32127094">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6935BC2B">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519B56C1">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25</w:t>
            </w:r>
          </w:p>
        </w:tc>
        <w:tc>
          <w:tcPr>
            <w:tcW w:w="2691" w:type="dxa"/>
            <w:vAlign w:val="center"/>
          </w:tcPr>
          <w:p w14:paraId="03BF1E6A">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公园绿化活动场地服务半径覆盖率（%）</w:t>
            </w:r>
          </w:p>
        </w:tc>
        <w:tc>
          <w:tcPr>
            <w:tcW w:w="9388" w:type="dxa"/>
            <w:vAlign w:val="center"/>
          </w:tcPr>
          <w:p w14:paraId="53D3ADFB">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300米见绿，500米见园”以及公园绿地面积标准要求，调查分析公园绿化活动场地服务半径覆盖的居住用地面积，占所在街道居住用地总面积的百分比，查找公园绿化活动场地布局不均衡、面积不达标等问题。</w:t>
            </w:r>
          </w:p>
        </w:tc>
      </w:tr>
      <w:tr w14:paraId="1F20A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continue"/>
            <w:tcBorders>
              <w:left w:val="single" w:color="auto" w:sz="4" w:space="0"/>
              <w:right w:val="single" w:color="auto" w:sz="4" w:space="0"/>
            </w:tcBorders>
            <w:vAlign w:val="center"/>
          </w:tcPr>
          <w:p w14:paraId="5E870958">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restart"/>
            <w:vAlign w:val="center"/>
          </w:tcPr>
          <w:p w14:paraId="7F6C4C9C">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kern w:val="0"/>
                <w:sz w:val="24"/>
                <w:szCs w:val="24"/>
                <w:lang w:bidi="ar"/>
              </w:rPr>
              <w:t>整洁</w:t>
            </w:r>
          </w:p>
          <w:p w14:paraId="442EE291">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kern w:val="0"/>
                <w:sz w:val="24"/>
                <w:szCs w:val="24"/>
                <w:lang w:bidi="ar"/>
              </w:rPr>
              <w:t>有序</w:t>
            </w:r>
          </w:p>
        </w:tc>
        <w:tc>
          <w:tcPr>
            <w:tcW w:w="809" w:type="dxa"/>
            <w:vAlign w:val="center"/>
          </w:tcPr>
          <w:p w14:paraId="09AD8A89">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26</w:t>
            </w:r>
          </w:p>
        </w:tc>
        <w:tc>
          <w:tcPr>
            <w:tcW w:w="2691" w:type="dxa"/>
            <w:vAlign w:val="center"/>
          </w:tcPr>
          <w:p w14:paraId="0D16BE51">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存在乱拉空中线路问题的道路数量（条）</w:t>
            </w:r>
          </w:p>
        </w:tc>
        <w:tc>
          <w:tcPr>
            <w:tcW w:w="9388" w:type="dxa"/>
            <w:vAlign w:val="center"/>
          </w:tcPr>
          <w:p w14:paraId="55020857">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按照《城市市容市貌干净整洁有序安全标准（试行）》要求，查找街道上乱拉空中架设缆线、线杆，以及箱体损坏等问题。</w:t>
            </w:r>
          </w:p>
        </w:tc>
      </w:tr>
      <w:tr w14:paraId="5207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continue"/>
            <w:tcBorders>
              <w:left w:val="single" w:color="auto" w:sz="4" w:space="0"/>
              <w:right w:val="single" w:color="auto" w:sz="4" w:space="0"/>
            </w:tcBorders>
            <w:vAlign w:val="center"/>
          </w:tcPr>
          <w:p w14:paraId="221D8C0A">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5DE369A2">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787EECE1">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27</w:t>
            </w:r>
          </w:p>
        </w:tc>
        <w:tc>
          <w:tcPr>
            <w:tcW w:w="2691" w:type="dxa"/>
            <w:vAlign w:val="center"/>
          </w:tcPr>
          <w:p w14:paraId="2A80A7D1">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存在乱停乱放车辆问题的道路数量（条）</w:t>
            </w:r>
          </w:p>
        </w:tc>
        <w:tc>
          <w:tcPr>
            <w:tcW w:w="9388" w:type="dxa"/>
            <w:vAlign w:val="center"/>
          </w:tcPr>
          <w:p w14:paraId="76A57F18">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按照《城市市容市貌干净整洁有序安全标准（试行）》要求，查找街道上机动车、非机动车无序停放、占用绿化带和人行道的问题。</w:t>
            </w:r>
          </w:p>
        </w:tc>
      </w:tr>
      <w:tr w14:paraId="41F48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continue"/>
            <w:tcBorders>
              <w:left w:val="single" w:color="auto" w:sz="4" w:space="0"/>
              <w:right w:val="single" w:color="auto" w:sz="4" w:space="0"/>
            </w:tcBorders>
            <w:vAlign w:val="center"/>
          </w:tcPr>
          <w:p w14:paraId="3EFB5C28">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7F7A60BD">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4A747B0D">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28</w:t>
            </w:r>
          </w:p>
        </w:tc>
        <w:tc>
          <w:tcPr>
            <w:tcW w:w="2691" w:type="dxa"/>
            <w:vAlign w:val="center"/>
          </w:tcPr>
          <w:p w14:paraId="0100921A">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窨井盖缺失、移位、损坏的数量（个）</w:t>
            </w:r>
          </w:p>
        </w:tc>
        <w:tc>
          <w:tcPr>
            <w:tcW w:w="9388" w:type="dxa"/>
            <w:vAlign w:val="center"/>
          </w:tcPr>
          <w:p w14:paraId="1FB2849A">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按照住房和城乡建设部办公厅等《关于加强窨井盖安全管理的指导意见》，查找窨井盖缺失、移位、损坏等安全隐患问题。</w:t>
            </w:r>
          </w:p>
        </w:tc>
      </w:tr>
      <w:tr w14:paraId="29B9A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continue"/>
            <w:tcBorders>
              <w:left w:val="single" w:color="auto" w:sz="4" w:space="0"/>
              <w:right w:val="single" w:color="auto" w:sz="4" w:space="0"/>
            </w:tcBorders>
            <w:vAlign w:val="center"/>
          </w:tcPr>
          <w:p w14:paraId="557E8814">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restart"/>
            <w:vAlign w:val="center"/>
          </w:tcPr>
          <w:p w14:paraId="7FAB84BC">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kern w:val="0"/>
                <w:sz w:val="24"/>
                <w:szCs w:val="24"/>
                <w:lang w:bidi="ar"/>
              </w:rPr>
              <w:t>特色</w:t>
            </w:r>
          </w:p>
          <w:p w14:paraId="7564BDB3">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kern w:val="0"/>
                <w:sz w:val="24"/>
                <w:szCs w:val="24"/>
                <w:lang w:bidi="ar"/>
              </w:rPr>
              <w:t>活力</w:t>
            </w:r>
          </w:p>
        </w:tc>
        <w:tc>
          <w:tcPr>
            <w:tcW w:w="809" w:type="dxa"/>
            <w:vAlign w:val="center"/>
          </w:tcPr>
          <w:p w14:paraId="4AD125DC">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29</w:t>
            </w:r>
          </w:p>
        </w:tc>
        <w:tc>
          <w:tcPr>
            <w:tcW w:w="2691" w:type="dxa"/>
            <w:vAlign w:val="center"/>
          </w:tcPr>
          <w:p w14:paraId="71EC8F60">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需要更新改造的老旧商业街区数量（个）</w:t>
            </w:r>
          </w:p>
        </w:tc>
        <w:tc>
          <w:tcPr>
            <w:tcW w:w="9388" w:type="dxa"/>
            <w:vAlign w:val="center"/>
          </w:tcPr>
          <w:p w14:paraId="7FE50486">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查找老旧商业街区在购物、娱乐、旅游、文化等多功能多业态集聚、公共空间塑造、步行环境整治、特色化品牌化服务等方面的问题与短板。</w:t>
            </w:r>
          </w:p>
        </w:tc>
      </w:tr>
      <w:tr w14:paraId="1C955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continue"/>
            <w:tcBorders>
              <w:left w:val="single" w:color="auto" w:sz="4" w:space="0"/>
              <w:right w:val="single" w:color="auto" w:sz="4" w:space="0"/>
            </w:tcBorders>
            <w:vAlign w:val="center"/>
          </w:tcPr>
          <w:p w14:paraId="06305998">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2CB68AA6">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74708178">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30</w:t>
            </w:r>
          </w:p>
        </w:tc>
        <w:tc>
          <w:tcPr>
            <w:tcW w:w="2691" w:type="dxa"/>
            <w:vAlign w:val="center"/>
          </w:tcPr>
          <w:p w14:paraId="467075A6">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需要进行更新改造的老旧厂区数量（个）</w:t>
            </w:r>
          </w:p>
        </w:tc>
        <w:tc>
          <w:tcPr>
            <w:tcW w:w="9388" w:type="dxa"/>
            <w:vAlign w:val="center"/>
          </w:tcPr>
          <w:p w14:paraId="439D7156">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查找老旧厂区在闲置资源盘活利用、新业态新功能植入、产业转型升级以及专业化运营管理等方面存在的问题和短板。</w:t>
            </w:r>
          </w:p>
        </w:tc>
      </w:tr>
      <w:tr w14:paraId="1216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continue"/>
            <w:tcBorders>
              <w:left w:val="single" w:color="auto" w:sz="4" w:space="0"/>
              <w:right w:val="single" w:color="auto" w:sz="4" w:space="0"/>
            </w:tcBorders>
            <w:vAlign w:val="center"/>
          </w:tcPr>
          <w:p w14:paraId="68716C0C">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096E05C2">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0D16BD34">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31</w:t>
            </w:r>
          </w:p>
        </w:tc>
        <w:tc>
          <w:tcPr>
            <w:tcW w:w="2691" w:type="dxa"/>
            <w:vAlign w:val="center"/>
          </w:tcPr>
          <w:p w14:paraId="4616B5C1">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需要进行更新改造的老旧街区数量（个）</w:t>
            </w:r>
          </w:p>
        </w:tc>
        <w:tc>
          <w:tcPr>
            <w:tcW w:w="9388" w:type="dxa"/>
            <w:vAlign w:val="center"/>
          </w:tcPr>
          <w:p w14:paraId="5617DCE0">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查找老旧街区在既有建筑保留利用、城市客厅等服务设施配置、基础设施更新改造以及功能转换、活力提升等方面存在的问题和短板。</w:t>
            </w:r>
          </w:p>
        </w:tc>
      </w:tr>
      <w:tr w14:paraId="67A31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restart"/>
            <w:tcBorders>
              <w:left w:val="single" w:color="auto" w:sz="4" w:space="0"/>
              <w:right w:val="single" w:color="auto" w:sz="4" w:space="0"/>
            </w:tcBorders>
            <w:vAlign w:val="center"/>
          </w:tcPr>
          <w:p w14:paraId="56381A2B">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sz w:val="24"/>
                <w:szCs w:val="24"/>
              </w:rPr>
              <w:t>城区（城市）</w:t>
            </w:r>
          </w:p>
        </w:tc>
        <w:tc>
          <w:tcPr>
            <w:tcW w:w="842" w:type="dxa"/>
            <w:vMerge w:val="restart"/>
            <w:vAlign w:val="center"/>
          </w:tcPr>
          <w:p w14:paraId="2389F86E">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kern w:val="0"/>
                <w:sz w:val="24"/>
                <w:szCs w:val="24"/>
                <w:lang w:bidi="ar"/>
              </w:rPr>
              <w:t>生态</w:t>
            </w:r>
          </w:p>
          <w:p w14:paraId="5200C2EB">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kern w:val="0"/>
                <w:sz w:val="24"/>
                <w:szCs w:val="24"/>
                <w:lang w:bidi="ar"/>
              </w:rPr>
              <w:t>宜居</w:t>
            </w:r>
          </w:p>
        </w:tc>
        <w:tc>
          <w:tcPr>
            <w:tcW w:w="809" w:type="dxa"/>
            <w:vAlign w:val="center"/>
          </w:tcPr>
          <w:p w14:paraId="23A50D43">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32</w:t>
            </w:r>
          </w:p>
        </w:tc>
        <w:tc>
          <w:tcPr>
            <w:tcW w:w="2691" w:type="dxa"/>
            <w:vAlign w:val="center"/>
          </w:tcPr>
          <w:p w14:paraId="23AA096F">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城市生活污水集中收集率（%）</w:t>
            </w:r>
          </w:p>
        </w:tc>
        <w:tc>
          <w:tcPr>
            <w:tcW w:w="9388" w:type="dxa"/>
            <w:vAlign w:val="center"/>
          </w:tcPr>
          <w:p w14:paraId="79B43C0B">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到2025年城市生活污水集中收集率达到70%的目标，调查分析市辖区建成区内通过集中式和分布式污水处理设施收集的生活污染物量，占生活污染物排放总量的百分比，查找城镇污水收集处理设施建设、运维等方面的差距和问题。</w:t>
            </w:r>
          </w:p>
        </w:tc>
      </w:tr>
      <w:tr w14:paraId="3A11E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continue"/>
            <w:tcBorders>
              <w:left w:val="single" w:color="auto" w:sz="4" w:space="0"/>
              <w:right w:val="single" w:color="auto" w:sz="4" w:space="0"/>
            </w:tcBorders>
            <w:vAlign w:val="center"/>
          </w:tcPr>
          <w:p w14:paraId="37DB4414">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7753852A">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44DABC96">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33</w:t>
            </w:r>
          </w:p>
        </w:tc>
        <w:tc>
          <w:tcPr>
            <w:tcW w:w="2691" w:type="dxa"/>
            <w:vAlign w:val="center"/>
          </w:tcPr>
          <w:p w14:paraId="4AE0EDC0">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城市水体返黑返臭事件数（起）</w:t>
            </w:r>
          </w:p>
        </w:tc>
        <w:tc>
          <w:tcPr>
            <w:tcW w:w="9388" w:type="dxa"/>
            <w:vAlign w:val="center"/>
          </w:tcPr>
          <w:p w14:paraId="4E274608">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按照深入打好城市黑臭水体治理攻坚战的要求，调查当年市辖区建成区内城市水体反弹造成的返黑返臭事件数量。</w:t>
            </w:r>
          </w:p>
        </w:tc>
      </w:tr>
      <w:tr w14:paraId="651D1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continue"/>
            <w:tcBorders>
              <w:left w:val="single" w:color="auto" w:sz="4" w:space="0"/>
              <w:right w:val="single" w:color="auto" w:sz="4" w:space="0"/>
            </w:tcBorders>
            <w:vAlign w:val="center"/>
          </w:tcPr>
          <w:p w14:paraId="48CA6076">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76966AC4">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7056466D">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34</w:t>
            </w:r>
          </w:p>
        </w:tc>
        <w:tc>
          <w:tcPr>
            <w:tcW w:w="2691" w:type="dxa"/>
            <w:vAlign w:val="center"/>
          </w:tcPr>
          <w:p w14:paraId="2D16337B">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绿道服务半径覆盖率（%）</w:t>
            </w:r>
          </w:p>
        </w:tc>
        <w:tc>
          <w:tcPr>
            <w:tcW w:w="9388" w:type="dxa"/>
            <w:vAlign w:val="center"/>
          </w:tcPr>
          <w:p w14:paraId="4BB81A56">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到2025年绿道服务半径覆盖率达到70%的目标，调查分析市辖区建成区内绿道两侧1公里服务半径覆盖的居住用地面积，占总居住用地面积的百分比，查找城市绿道长度、布局、贯通性、建设品质等方面的差距和问题。</w:t>
            </w:r>
          </w:p>
        </w:tc>
      </w:tr>
      <w:tr w14:paraId="5166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continue"/>
            <w:tcBorders>
              <w:left w:val="single" w:color="auto" w:sz="4" w:space="0"/>
              <w:right w:val="single" w:color="auto" w:sz="4" w:space="0"/>
            </w:tcBorders>
            <w:vAlign w:val="center"/>
          </w:tcPr>
          <w:p w14:paraId="4ED0E576">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3A16CE63">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387AC258">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35</w:t>
            </w:r>
          </w:p>
        </w:tc>
        <w:tc>
          <w:tcPr>
            <w:tcW w:w="2691" w:type="dxa"/>
            <w:vAlign w:val="center"/>
          </w:tcPr>
          <w:p w14:paraId="18CA54B5">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人均体育场地面积（平方米/人）</w:t>
            </w:r>
          </w:p>
        </w:tc>
        <w:tc>
          <w:tcPr>
            <w:tcW w:w="9388" w:type="dxa"/>
            <w:vAlign w:val="center"/>
          </w:tcPr>
          <w:p w14:paraId="7D12172B">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按照到2025年人均体育场地面积达到2.6平方米的目标，调查市辖区建成区内常住人口人均拥有的体育场地面积情况，查找城市体育场地、健身设施等方面的差距和问题。</w:t>
            </w:r>
          </w:p>
        </w:tc>
      </w:tr>
      <w:tr w14:paraId="3D5EC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continue"/>
            <w:tcBorders>
              <w:left w:val="single" w:color="auto" w:sz="4" w:space="0"/>
              <w:right w:val="single" w:color="auto" w:sz="4" w:space="0"/>
            </w:tcBorders>
            <w:vAlign w:val="center"/>
          </w:tcPr>
          <w:p w14:paraId="23465FE0">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4066945D">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6AFA157A">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36</w:t>
            </w:r>
          </w:p>
        </w:tc>
        <w:tc>
          <w:tcPr>
            <w:tcW w:w="2691" w:type="dxa"/>
            <w:vAlign w:val="center"/>
          </w:tcPr>
          <w:p w14:paraId="3F172423">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人均公共文化设施面积（平方米/人）</w:t>
            </w:r>
          </w:p>
        </w:tc>
        <w:tc>
          <w:tcPr>
            <w:tcW w:w="9388" w:type="dxa"/>
            <w:vAlign w:val="center"/>
          </w:tcPr>
          <w:p w14:paraId="1024953F">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按照人均公共文化设施面积达到0.2平方米的目标，调查市辖区建成区内常住人口人均拥有的公共文化设施面积情况，查找城市公共文化设施、服务体系等方面的差距和问题。</w:t>
            </w:r>
          </w:p>
        </w:tc>
      </w:tr>
      <w:tr w14:paraId="39887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continue"/>
            <w:tcBorders>
              <w:left w:val="single" w:color="auto" w:sz="4" w:space="0"/>
              <w:right w:val="single" w:color="auto" w:sz="4" w:space="0"/>
            </w:tcBorders>
            <w:vAlign w:val="center"/>
          </w:tcPr>
          <w:p w14:paraId="1A5FDCE8">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02EFB731">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02C130E1">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37</w:t>
            </w:r>
          </w:p>
        </w:tc>
        <w:tc>
          <w:tcPr>
            <w:tcW w:w="2691" w:type="dxa"/>
            <w:vAlign w:val="center"/>
          </w:tcPr>
          <w:p w14:paraId="4CB91933">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未达标配建的妇幼保健机构数量（个）</w:t>
            </w:r>
          </w:p>
        </w:tc>
        <w:tc>
          <w:tcPr>
            <w:tcW w:w="9388" w:type="dxa"/>
            <w:vAlign w:val="center"/>
          </w:tcPr>
          <w:p w14:paraId="50DCBB92">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中国妇女发展纲要（2021—2030年）》《中国儿童发展纲要（2021—2030年）》要求，调查市辖区内没有配建妇幼保健机构或建设规模不达标的妇幼保健机构数量，查找城市妇幼保健机构建设规模不充足、服务体系不健全等方面的问题。</w:t>
            </w:r>
          </w:p>
        </w:tc>
      </w:tr>
      <w:tr w14:paraId="7CA2E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0" w:type="auto"/>
            <w:vMerge w:val="continue"/>
            <w:tcBorders>
              <w:left w:val="single" w:color="auto" w:sz="4" w:space="0"/>
              <w:right w:val="single" w:color="auto" w:sz="4" w:space="0"/>
            </w:tcBorders>
            <w:vAlign w:val="center"/>
          </w:tcPr>
          <w:p w14:paraId="200FA254">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1443B3A6">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401DFE04">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38</w:t>
            </w:r>
          </w:p>
        </w:tc>
        <w:tc>
          <w:tcPr>
            <w:tcW w:w="2691" w:type="dxa"/>
            <w:vAlign w:val="center"/>
          </w:tcPr>
          <w:p w14:paraId="47C3B942">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城市道路网密度（公里/平方公里）</w:t>
            </w:r>
          </w:p>
        </w:tc>
        <w:tc>
          <w:tcPr>
            <w:tcW w:w="9388" w:type="dxa"/>
            <w:vAlign w:val="center"/>
          </w:tcPr>
          <w:p w14:paraId="46AA2173">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按照道路网密度达到8公里/平方公里的目标，调查分析市辖区建成区内城市道路长度（包括快速路、主干路、次干路及支路）与建成区面积的比值，查找城市综合交通体系建设方面存在的差距和问题。</w:t>
            </w:r>
          </w:p>
        </w:tc>
      </w:tr>
      <w:tr w14:paraId="38FC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0" w:type="auto"/>
            <w:vMerge w:val="continue"/>
            <w:tcBorders>
              <w:left w:val="single" w:color="auto" w:sz="4" w:space="0"/>
              <w:right w:val="single" w:color="auto" w:sz="4" w:space="0"/>
            </w:tcBorders>
            <w:vAlign w:val="center"/>
          </w:tcPr>
          <w:p w14:paraId="59645C93">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308AE5A3">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2C03C605">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39</w:t>
            </w:r>
          </w:p>
        </w:tc>
        <w:tc>
          <w:tcPr>
            <w:tcW w:w="2691" w:type="dxa"/>
            <w:vAlign w:val="center"/>
          </w:tcPr>
          <w:p w14:paraId="0A24BBCC">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新建建筑中绿色建筑占比（%）</w:t>
            </w:r>
          </w:p>
        </w:tc>
        <w:tc>
          <w:tcPr>
            <w:tcW w:w="9388" w:type="dxa"/>
            <w:vAlign w:val="center"/>
          </w:tcPr>
          <w:p w14:paraId="71E9F802">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按照到2025年新建建筑中绿色建筑占比达到100%的目标，调查分析当年市辖区内竣工绿色建筑面积占竣工建筑总面积的百分比，查找城市绿色建筑发展方面存在的差距和问题。</w:t>
            </w:r>
          </w:p>
        </w:tc>
      </w:tr>
      <w:tr w14:paraId="5A71A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0" w:type="auto"/>
            <w:vMerge w:val="continue"/>
            <w:tcBorders>
              <w:left w:val="single" w:color="auto" w:sz="4" w:space="0"/>
              <w:right w:val="single" w:color="auto" w:sz="4" w:space="0"/>
            </w:tcBorders>
            <w:vAlign w:val="center"/>
          </w:tcPr>
          <w:p w14:paraId="6F357131">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restart"/>
            <w:vAlign w:val="center"/>
          </w:tcPr>
          <w:p w14:paraId="34983A61">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kern w:val="0"/>
                <w:sz w:val="24"/>
                <w:szCs w:val="24"/>
                <w:lang w:bidi="ar"/>
              </w:rPr>
              <w:t>历史文化保护利用</w:t>
            </w:r>
          </w:p>
        </w:tc>
        <w:tc>
          <w:tcPr>
            <w:tcW w:w="809" w:type="dxa"/>
            <w:vAlign w:val="center"/>
          </w:tcPr>
          <w:p w14:paraId="05D20DE7">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40</w:t>
            </w:r>
          </w:p>
        </w:tc>
        <w:tc>
          <w:tcPr>
            <w:tcW w:w="2691" w:type="dxa"/>
            <w:vAlign w:val="center"/>
          </w:tcPr>
          <w:p w14:paraId="10EC00D4">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历史文化街区、历史建筑挂牌建档率（%）</w:t>
            </w:r>
          </w:p>
        </w:tc>
        <w:tc>
          <w:tcPr>
            <w:tcW w:w="9388" w:type="dxa"/>
            <w:vAlign w:val="center"/>
          </w:tcPr>
          <w:p w14:paraId="3D195E90">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历史文化街区、历史建筑挂牌建档率达到100%的目标，调查分析市辖区内完成挂牌建档的历史文化街区、历史建筑数量，占已认定并公布的历史文化街区、历史建筑总数量的百分比，查找历史文化名城、名镇、名村（传统村落）、街区、历史建筑和历史地段等各类保护对象测绘、建档、挂牌等方面存在的问题。</w:t>
            </w:r>
          </w:p>
        </w:tc>
      </w:tr>
      <w:tr w14:paraId="48091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continue"/>
            <w:tcBorders>
              <w:left w:val="single" w:color="auto" w:sz="4" w:space="0"/>
              <w:right w:val="single" w:color="auto" w:sz="4" w:space="0"/>
            </w:tcBorders>
            <w:vAlign w:val="center"/>
          </w:tcPr>
          <w:p w14:paraId="7ECB6E8D">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5E1551EB">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4AEC4BE3">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41</w:t>
            </w:r>
          </w:p>
        </w:tc>
        <w:tc>
          <w:tcPr>
            <w:tcW w:w="2691" w:type="dxa"/>
            <w:vAlign w:val="center"/>
          </w:tcPr>
          <w:p w14:paraId="2A04F73D">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历史建筑空置率（%）</w:t>
            </w:r>
          </w:p>
        </w:tc>
        <w:tc>
          <w:tcPr>
            <w:tcW w:w="9388" w:type="dxa"/>
            <w:vAlign w:val="center"/>
          </w:tcPr>
          <w:p w14:paraId="1C867AD8">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调查市辖区内闲置半年以上的历史建筑数量，占公布的历史建筑总数的百分比，查找城市历史建筑活化利用、以用促保等方面存在的问题。</w:t>
            </w:r>
          </w:p>
        </w:tc>
      </w:tr>
      <w:tr w14:paraId="7C03B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0" w:type="auto"/>
            <w:vMerge w:val="continue"/>
            <w:tcBorders>
              <w:left w:val="single" w:color="auto" w:sz="4" w:space="0"/>
              <w:right w:val="single" w:color="auto" w:sz="4" w:space="0"/>
            </w:tcBorders>
            <w:vAlign w:val="center"/>
          </w:tcPr>
          <w:p w14:paraId="2A0AC1C6">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317259CE">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7F8E79D8">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42</w:t>
            </w:r>
          </w:p>
        </w:tc>
        <w:tc>
          <w:tcPr>
            <w:tcW w:w="2691" w:type="dxa"/>
            <w:vAlign w:val="center"/>
          </w:tcPr>
          <w:p w14:paraId="6866A549">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历史文化资源遭受破坏的负面事件数（起）</w:t>
            </w:r>
          </w:p>
        </w:tc>
        <w:tc>
          <w:tcPr>
            <w:tcW w:w="9388" w:type="dxa"/>
            <w:vAlign w:val="center"/>
          </w:tcPr>
          <w:p w14:paraId="5F8D86DF">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调查市辖区内文物建筑、历史建筑和各类具有保护价值的建筑，以及古树名木等历史环境要素遭受破坏的负面事件数量，查找城乡建设中历史文化遗产遭破坏、拆除，大规模搬迁原住居民等方面的问题。</w:t>
            </w:r>
          </w:p>
        </w:tc>
      </w:tr>
      <w:tr w14:paraId="42C73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0" w:type="auto"/>
            <w:vMerge w:val="continue"/>
            <w:tcBorders>
              <w:left w:val="single" w:color="auto" w:sz="4" w:space="0"/>
              <w:right w:val="single" w:color="auto" w:sz="4" w:space="0"/>
            </w:tcBorders>
            <w:vAlign w:val="center"/>
          </w:tcPr>
          <w:p w14:paraId="2D8B1023">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2D2BABCA">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3E0D8F47">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43</w:t>
            </w:r>
          </w:p>
        </w:tc>
        <w:tc>
          <w:tcPr>
            <w:tcW w:w="2691" w:type="dxa"/>
            <w:vAlign w:val="center"/>
          </w:tcPr>
          <w:p w14:paraId="51242E77">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擅自拆除历史文化街区内建筑物、构筑物的数量（栋）</w:t>
            </w:r>
          </w:p>
        </w:tc>
        <w:tc>
          <w:tcPr>
            <w:tcW w:w="9388" w:type="dxa"/>
            <w:vAlign w:val="center"/>
          </w:tcPr>
          <w:p w14:paraId="2D86E473">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调查市辖区历史文化街区核心保护范围内，未经有关部门批准，拆除历史建筑以外的建筑物、构筑物或者其他设施的数量，查找违规拆除或审批管理机制不健全等方面的问题。</w:t>
            </w:r>
          </w:p>
        </w:tc>
      </w:tr>
      <w:tr w14:paraId="78EF3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0" w:type="auto"/>
            <w:vMerge w:val="continue"/>
            <w:tcBorders>
              <w:left w:val="single" w:color="auto" w:sz="4" w:space="0"/>
              <w:right w:val="single" w:color="auto" w:sz="4" w:space="0"/>
            </w:tcBorders>
            <w:vAlign w:val="center"/>
          </w:tcPr>
          <w:p w14:paraId="3038CFFD">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3F7F3CB5">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0B769378">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44</w:t>
            </w:r>
          </w:p>
        </w:tc>
        <w:tc>
          <w:tcPr>
            <w:tcW w:w="2691" w:type="dxa"/>
            <w:vAlign w:val="center"/>
          </w:tcPr>
          <w:p w14:paraId="2A23B049">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当年各类保护对象增加数量（个）</w:t>
            </w:r>
          </w:p>
        </w:tc>
        <w:tc>
          <w:tcPr>
            <w:tcW w:w="9388" w:type="dxa"/>
            <w:vAlign w:val="center"/>
          </w:tcPr>
          <w:p w14:paraId="6B76ADED">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调查市辖区内已认定公布的历史文化街区、不可移动文物、历史建筑、历史地段、工业遗产等保护对象数量比上年度增加数量，查找历史文化资源调查评估机制不健全，未做到应保尽保的问题。</w:t>
            </w:r>
          </w:p>
        </w:tc>
      </w:tr>
      <w:tr w14:paraId="7C6AC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0" w:type="auto"/>
            <w:vMerge w:val="continue"/>
            <w:tcBorders>
              <w:left w:val="single" w:color="auto" w:sz="4" w:space="0"/>
              <w:right w:val="single" w:color="auto" w:sz="4" w:space="0"/>
            </w:tcBorders>
            <w:vAlign w:val="center"/>
          </w:tcPr>
          <w:p w14:paraId="4498F5CC">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restart"/>
            <w:vAlign w:val="center"/>
          </w:tcPr>
          <w:p w14:paraId="2D1A9FBB">
            <w:pPr>
              <w:widowControl/>
              <w:jc w:val="center"/>
              <w:textAlignment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kern w:val="0"/>
                <w:sz w:val="24"/>
                <w:szCs w:val="24"/>
                <w:lang w:bidi="ar"/>
              </w:rPr>
              <w:t>产城融合、职住平衡</w:t>
            </w:r>
          </w:p>
        </w:tc>
        <w:tc>
          <w:tcPr>
            <w:tcW w:w="809" w:type="dxa"/>
            <w:vAlign w:val="center"/>
          </w:tcPr>
          <w:p w14:paraId="6BD72CF1">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45</w:t>
            </w:r>
          </w:p>
        </w:tc>
        <w:tc>
          <w:tcPr>
            <w:tcW w:w="2691" w:type="dxa"/>
            <w:vAlign w:val="center"/>
          </w:tcPr>
          <w:p w14:paraId="666E47F0">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新市民、青年人保障性租赁住房覆盖率（%）</w:t>
            </w:r>
          </w:p>
        </w:tc>
        <w:tc>
          <w:tcPr>
            <w:tcW w:w="9388" w:type="dxa"/>
            <w:vAlign w:val="center"/>
          </w:tcPr>
          <w:p w14:paraId="48587705">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到2025年新市民、青年人保障性租赁住房覆盖率达到20%的目标，调查分析市辖区内正在享受保障性租赁住房的新市民、青年人数量，占应当享受保障性租赁住房的新市民、青年人数量的百分比，查找解决新市民、青年人住房方面问题。</w:t>
            </w:r>
          </w:p>
        </w:tc>
      </w:tr>
      <w:tr w14:paraId="47BFB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0" w:type="auto"/>
            <w:vMerge w:val="continue"/>
            <w:tcBorders>
              <w:left w:val="single" w:color="auto" w:sz="4" w:space="0"/>
              <w:right w:val="single" w:color="auto" w:sz="4" w:space="0"/>
            </w:tcBorders>
            <w:vAlign w:val="center"/>
          </w:tcPr>
          <w:p w14:paraId="6B21D690">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3F8510D8">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61F01E2E">
            <w:pPr>
              <w:spacing w:line="36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46</w:t>
            </w:r>
          </w:p>
        </w:tc>
        <w:tc>
          <w:tcPr>
            <w:tcW w:w="2691" w:type="dxa"/>
            <w:vAlign w:val="center"/>
          </w:tcPr>
          <w:p w14:paraId="37AFA98F">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城市高峰期机动车平均速度（km/h）</w:t>
            </w:r>
          </w:p>
        </w:tc>
        <w:tc>
          <w:tcPr>
            <w:tcW w:w="9388" w:type="dxa"/>
            <w:vAlign w:val="center"/>
          </w:tcPr>
          <w:p w14:paraId="348D0830">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按照城市快速路、主干路早晚高峰期平均车速分别不低于30km/h、20km/h的标准要求，调查工作日早晚高峰时段城市主干路及以上等级道路上各类机动车的平均行驶速度，查找城市交通拥堵情况。</w:t>
            </w:r>
          </w:p>
        </w:tc>
      </w:tr>
      <w:tr w14:paraId="1B3BB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 w:hRule="atLeast"/>
          <w:jc w:val="center"/>
        </w:trPr>
        <w:tc>
          <w:tcPr>
            <w:tcW w:w="0" w:type="auto"/>
            <w:vMerge w:val="continue"/>
            <w:tcBorders>
              <w:left w:val="single" w:color="auto" w:sz="4" w:space="0"/>
              <w:right w:val="single" w:color="auto" w:sz="4" w:space="0"/>
            </w:tcBorders>
            <w:vAlign w:val="center"/>
          </w:tcPr>
          <w:p w14:paraId="264F9D84">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29B47F93">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065FE204">
            <w:pPr>
              <w:spacing w:line="40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47</w:t>
            </w:r>
          </w:p>
        </w:tc>
        <w:tc>
          <w:tcPr>
            <w:tcW w:w="2691" w:type="dxa"/>
            <w:vAlign w:val="center"/>
          </w:tcPr>
          <w:p w14:paraId="608AB697">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轨道站点周边覆盖通勤比例（%）</w:t>
            </w:r>
          </w:p>
        </w:tc>
        <w:tc>
          <w:tcPr>
            <w:tcW w:w="9388" w:type="dxa"/>
            <w:vAlign w:val="center"/>
          </w:tcPr>
          <w:p w14:paraId="020476BC">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参照轨道站点800米范围覆盖的轨道交通通勤量，占城市总通勤量的百分比超大城市≥30%、特大城市≥20%、大城市≥10%的目标，调查分析市辖区内轨道站点周边覆盖通勤量比例，查找城市轨道交通站点与周边地区土地综合开发、长距离通勤效能等方面存在的短板和问题。</w:t>
            </w:r>
          </w:p>
        </w:tc>
      </w:tr>
      <w:tr w14:paraId="23281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0" w:type="auto"/>
            <w:vMerge w:val="continue"/>
            <w:tcBorders>
              <w:left w:val="single" w:color="auto" w:sz="4" w:space="0"/>
              <w:right w:val="single" w:color="auto" w:sz="4" w:space="0"/>
            </w:tcBorders>
            <w:vAlign w:val="center"/>
          </w:tcPr>
          <w:p w14:paraId="1CFA1EE9">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restart"/>
            <w:vAlign w:val="center"/>
          </w:tcPr>
          <w:p w14:paraId="43DEB813">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kern w:val="0"/>
                <w:sz w:val="24"/>
                <w:szCs w:val="24"/>
                <w:lang w:bidi="ar"/>
              </w:rPr>
              <w:t>安全</w:t>
            </w:r>
          </w:p>
          <w:p w14:paraId="7F9B6195">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kern w:val="0"/>
                <w:sz w:val="24"/>
                <w:szCs w:val="24"/>
                <w:lang w:bidi="ar"/>
              </w:rPr>
              <w:t>韧性</w:t>
            </w:r>
          </w:p>
        </w:tc>
        <w:tc>
          <w:tcPr>
            <w:tcW w:w="809" w:type="dxa"/>
            <w:vAlign w:val="center"/>
          </w:tcPr>
          <w:p w14:paraId="6D03AE58">
            <w:pPr>
              <w:spacing w:line="40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48</w:t>
            </w:r>
          </w:p>
        </w:tc>
        <w:tc>
          <w:tcPr>
            <w:tcW w:w="2691" w:type="dxa"/>
            <w:vAlign w:val="center"/>
          </w:tcPr>
          <w:p w14:paraId="212A2EF4">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房屋市政工程生产安全事故数（起）</w:t>
            </w:r>
          </w:p>
        </w:tc>
        <w:tc>
          <w:tcPr>
            <w:tcW w:w="9388" w:type="dxa"/>
            <w:vAlign w:val="center"/>
          </w:tcPr>
          <w:p w14:paraId="7C65C121">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调查市辖区内房屋市政工程生产安全较大及以上事故起数，查找城市房屋市政工程安全生产方面存在的问题。</w:t>
            </w:r>
          </w:p>
        </w:tc>
      </w:tr>
      <w:tr w14:paraId="102B5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0" w:type="auto"/>
            <w:vMerge w:val="continue"/>
            <w:tcBorders>
              <w:left w:val="single" w:color="auto" w:sz="4" w:space="0"/>
              <w:right w:val="single" w:color="auto" w:sz="4" w:space="0"/>
            </w:tcBorders>
            <w:vAlign w:val="center"/>
          </w:tcPr>
          <w:p w14:paraId="1D1D88BE">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05E3FD5E">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7A435074">
            <w:pPr>
              <w:spacing w:line="40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49</w:t>
            </w:r>
          </w:p>
        </w:tc>
        <w:tc>
          <w:tcPr>
            <w:tcW w:w="2691" w:type="dxa"/>
            <w:vAlign w:val="center"/>
          </w:tcPr>
          <w:p w14:paraId="19F1829F">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消除严重易涝积水点数量（个）</w:t>
            </w:r>
          </w:p>
        </w:tc>
        <w:tc>
          <w:tcPr>
            <w:tcW w:w="9388" w:type="dxa"/>
            <w:vAlign w:val="center"/>
          </w:tcPr>
          <w:p w14:paraId="400411EB">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按照到2025年全面消除严重易涝积水点的目标要求，调查市辖区建成区内消除历史上严重影响生产生活秩序的易涝积水点数量，查找城市排水防涝工程体系建设方面的差距和问题。</w:t>
            </w:r>
          </w:p>
        </w:tc>
      </w:tr>
      <w:tr w14:paraId="64E54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0" w:type="auto"/>
            <w:vMerge w:val="continue"/>
            <w:tcBorders>
              <w:left w:val="single" w:color="auto" w:sz="4" w:space="0"/>
              <w:right w:val="single" w:color="auto" w:sz="4" w:space="0"/>
            </w:tcBorders>
            <w:vAlign w:val="center"/>
          </w:tcPr>
          <w:p w14:paraId="5FDA3957">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5EBE376D">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1D35D269">
            <w:pPr>
              <w:spacing w:line="40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50</w:t>
            </w:r>
          </w:p>
        </w:tc>
        <w:tc>
          <w:tcPr>
            <w:tcW w:w="2691" w:type="dxa"/>
            <w:vAlign w:val="center"/>
          </w:tcPr>
          <w:p w14:paraId="30A8F8A9">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城市排水防涝应急抢险能力（立方米/小时）</w:t>
            </w:r>
          </w:p>
        </w:tc>
        <w:tc>
          <w:tcPr>
            <w:tcW w:w="9388" w:type="dxa"/>
            <w:vAlign w:val="center"/>
          </w:tcPr>
          <w:p w14:paraId="43504BBA">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国务院办公厅关于加强城市内涝治理的实施意见》的要求，调查分析市辖区建成区内配备的排水防涝抽水泵、移动泵车及相应配套的自主发电等排水防涝设施每小时抽排的水量，查找城市排水防涝隐患排查和整治、专用防汛设备和抢险物资配备、应急响应和处置等方面存在的问题。</w:t>
            </w:r>
          </w:p>
        </w:tc>
      </w:tr>
      <w:tr w14:paraId="5B3A7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0" w:type="auto"/>
            <w:vMerge w:val="continue"/>
            <w:tcBorders>
              <w:left w:val="single" w:color="auto" w:sz="4" w:space="0"/>
              <w:right w:val="single" w:color="auto" w:sz="4" w:space="0"/>
            </w:tcBorders>
            <w:vAlign w:val="center"/>
          </w:tcPr>
          <w:p w14:paraId="48A7DE44">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7940046E">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3880D16C">
            <w:pPr>
              <w:spacing w:line="40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51</w:t>
            </w:r>
          </w:p>
        </w:tc>
        <w:tc>
          <w:tcPr>
            <w:tcW w:w="2691" w:type="dxa"/>
            <w:vAlign w:val="center"/>
          </w:tcPr>
          <w:p w14:paraId="2CD108F2">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应急供水保障率（%）</w:t>
            </w:r>
          </w:p>
        </w:tc>
        <w:tc>
          <w:tcPr>
            <w:tcW w:w="9388" w:type="dxa"/>
            <w:vAlign w:val="center"/>
          </w:tcPr>
          <w:p w14:paraId="4301442D">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住房和城乡建设部办公厅等《关于加强城市供水安全保障工作的通知》要求，调查市辖区应急供水量占总供水能力的百分比，分析城市应急水源或备用水源建设运行、应急净水和救援能力建设、供水应急响应机制建立情况，查找城市在水源突发污染、旱涝急转等不同风险状况下应急供水能力方面存在的问题。</w:t>
            </w:r>
          </w:p>
        </w:tc>
      </w:tr>
      <w:tr w14:paraId="2F6A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jc w:val="center"/>
        </w:trPr>
        <w:tc>
          <w:tcPr>
            <w:tcW w:w="0" w:type="auto"/>
            <w:vMerge w:val="continue"/>
            <w:tcBorders>
              <w:left w:val="single" w:color="auto" w:sz="4" w:space="0"/>
              <w:right w:val="single" w:color="auto" w:sz="4" w:space="0"/>
            </w:tcBorders>
            <w:vAlign w:val="center"/>
          </w:tcPr>
          <w:p w14:paraId="50C500E7">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1D2DE708">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0E6CC769">
            <w:pPr>
              <w:spacing w:line="40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52</w:t>
            </w:r>
          </w:p>
        </w:tc>
        <w:tc>
          <w:tcPr>
            <w:tcW w:w="2691" w:type="dxa"/>
            <w:vAlign w:val="center"/>
          </w:tcPr>
          <w:p w14:paraId="72E507A3">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老旧燃气管网改造完成率（%）</w:t>
            </w:r>
          </w:p>
        </w:tc>
        <w:tc>
          <w:tcPr>
            <w:tcW w:w="9388" w:type="dxa"/>
            <w:vAlign w:val="center"/>
          </w:tcPr>
          <w:p w14:paraId="384CC0EA">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到2025年基本完成城市老旧燃气管网改造的目标要求，调查分析市辖区建成区内老旧燃气管网更新改造长度，占老旧燃气管网总长度的百分比，查找城市老旧燃气管道和设施建设改造、运维养护等方面存在的差距和问题。</w:t>
            </w:r>
          </w:p>
        </w:tc>
      </w:tr>
      <w:tr w14:paraId="5BA9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0" w:type="auto"/>
            <w:vMerge w:val="continue"/>
            <w:tcBorders>
              <w:left w:val="single" w:color="auto" w:sz="4" w:space="0"/>
              <w:right w:val="single" w:color="auto" w:sz="4" w:space="0"/>
            </w:tcBorders>
            <w:vAlign w:val="center"/>
          </w:tcPr>
          <w:p w14:paraId="7BF5161F">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7F5CA184">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20F23E5B">
            <w:pPr>
              <w:spacing w:line="40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53</w:t>
            </w:r>
          </w:p>
        </w:tc>
        <w:tc>
          <w:tcPr>
            <w:tcW w:w="2691" w:type="dxa"/>
            <w:vAlign w:val="center"/>
          </w:tcPr>
          <w:p w14:paraId="19194744">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城市地下管廊的道路占比（%）</w:t>
            </w:r>
          </w:p>
        </w:tc>
        <w:tc>
          <w:tcPr>
            <w:tcW w:w="9388" w:type="dxa"/>
            <w:vAlign w:val="center"/>
          </w:tcPr>
          <w:p w14:paraId="25CDD18D">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按照新区城市地下管廊的道路占比≥30%，建成区≥2%的要求，调查分析市辖区建成区内地下管廊长度占道路长度的比例，查找城市地下管廊系统布局以及干、支线管廊发展等方面存在的差距和问题。</w:t>
            </w:r>
          </w:p>
        </w:tc>
      </w:tr>
      <w:tr w14:paraId="7D49A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0" w:type="auto"/>
            <w:vMerge w:val="continue"/>
            <w:tcBorders>
              <w:left w:val="single" w:color="auto" w:sz="4" w:space="0"/>
              <w:right w:val="single" w:color="auto" w:sz="4" w:space="0"/>
            </w:tcBorders>
            <w:vAlign w:val="center"/>
          </w:tcPr>
          <w:p w14:paraId="344178F7">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3F7DF684">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15514DA6">
            <w:pPr>
              <w:spacing w:line="40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54</w:t>
            </w:r>
          </w:p>
        </w:tc>
        <w:tc>
          <w:tcPr>
            <w:tcW w:w="2691" w:type="dxa"/>
            <w:vAlign w:val="center"/>
          </w:tcPr>
          <w:p w14:paraId="7A753462">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城市消防站服务半径覆盖率（%）</w:t>
            </w:r>
          </w:p>
        </w:tc>
        <w:tc>
          <w:tcPr>
            <w:tcW w:w="9388" w:type="dxa"/>
            <w:vAlign w:val="center"/>
          </w:tcPr>
          <w:p w14:paraId="4481094E">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城市消防站建设标准》要求，调查分析市辖区建成区内各类消防站服务半径覆盖的建设用地面积，占建设用地总面积的百分比，查找城市消防站建设规模不足、布局不均衡、人员配备及消防装备配置不完备等方面的问题。</w:t>
            </w:r>
          </w:p>
        </w:tc>
      </w:tr>
      <w:tr w14:paraId="3152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0" w:type="auto"/>
            <w:vMerge w:val="continue"/>
            <w:tcBorders>
              <w:left w:val="single" w:color="auto" w:sz="4" w:space="0"/>
              <w:right w:val="single" w:color="auto" w:sz="4" w:space="0"/>
            </w:tcBorders>
            <w:vAlign w:val="center"/>
          </w:tcPr>
          <w:p w14:paraId="67BB0AD3">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45159E1B">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2AB0EEF7">
            <w:pPr>
              <w:spacing w:line="40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55</w:t>
            </w:r>
          </w:p>
        </w:tc>
        <w:tc>
          <w:tcPr>
            <w:tcW w:w="2691" w:type="dxa"/>
            <w:vAlign w:val="center"/>
          </w:tcPr>
          <w:p w14:paraId="578760F2">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安全距离不达标的加油加气加氢站数量（个）</w:t>
            </w:r>
          </w:p>
        </w:tc>
        <w:tc>
          <w:tcPr>
            <w:tcW w:w="9388" w:type="dxa"/>
            <w:vAlign w:val="center"/>
          </w:tcPr>
          <w:p w14:paraId="4F6ED4ED">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按照《汽车加油加气加氢站技术标准》要求，查找安全距离不符合要求的汽车加油加气加氢站数量，以及布局不合理、安全监管不到位等方面的问题。</w:t>
            </w:r>
          </w:p>
        </w:tc>
      </w:tr>
      <w:tr w14:paraId="0C57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jc w:val="center"/>
        </w:trPr>
        <w:tc>
          <w:tcPr>
            <w:tcW w:w="0" w:type="auto"/>
            <w:vMerge w:val="continue"/>
            <w:tcBorders>
              <w:left w:val="single" w:color="auto" w:sz="4" w:space="0"/>
              <w:right w:val="single" w:color="auto" w:sz="4" w:space="0"/>
            </w:tcBorders>
            <w:vAlign w:val="center"/>
          </w:tcPr>
          <w:p w14:paraId="0989BA0E">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0CA2FF7C">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2EADDB91">
            <w:pPr>
              <w:spacing w:line="40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56</w:t>
            </w:r>
          </w:p>
        </w:tc>
        <w:tc>
          <w:tcPr>
            <w:tcW w:w="2691" w:type="dxa"/>
            <w:vAlign w:val="center"/>
          </w:tcPr>
          <w:p w14:paraId="5D6C79D3">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人均避难场所有效避难面积（平方米/人）</w:t>
            </w:r>
          </w:p>
        </w:tc>
        <w:tc>
          <w:tcPr>
            <w:tcW w:w="9388" w:type="dxa"/>
            <w:vAlign w:val="center"/>
          </w:tcPr>
          <w:p w14:paraId="48FEF7E3">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按照人均避难场所的有效避难面积达到2平方米/人的要求，调查分析市辖区建成区内避难场所有效避难面积，占常住人口总数的比例，查找城市应急避难场所规模、布局及配套设施等方面存在的差距和问题。</w:t>
            </w:r>
          </w:p>
        </w:tc>
      </w:tr>
      <w:tr w14:paraId="08C23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1" w:hRule="atLeast"/>
          <w:jc w:val="center"/>
        </w:trPr>
        <w:tc>
          <w:tcPr>
            <w:tcW w:w="0" w:type="auto"/>
            <w:vMerge w:val="continue"/>
            <w:tcBorders>
              <w:left w:val="single" w:color="auto" w:sz="4" w:space="0"/>
              <w:right w:val="single" w:color="auto" w:sz="4" w:space="0"/>
            </w:tcBorders>
            <w:vAlign w:val="center"/>
          </w:tcPr>
          <w:p w14:paraId="2D556D91">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restart"/>
            <w:vAlign w:val="center"/>
          </w:tcPr>
          <w:p w14:paraId="7C4F00ED">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kern w:val="0"/>
                <w:sz w:val="24"/>
                <w:szCs w:val="24"/>
                <w:lang w:bidi="ar"/>
              </w:rPr>
              <w:t>智慧</w:t>
            </w:r>
          </w:p>
          <w:p w14:paraId="7B63AB43">
            <w:pPr>
              <w:spacing w:line="400" w:lineRule="exact"/>
              <w:jc w:val="center"/>
              <w:rPr>
                <w:rFonts w:hint="default" w:ascii="Times New Roman" w:hAnsi="Times New Roman" w:eastAsia="仿宋_GB2312" w:cs="Times New Roman"/>
                <w:b/>
                <w:bCs/>
                <w:kern w:val="0"/>
                <w:sz w:val="24"/>
                <w:szCs w:val="24"/>
                <w:lang w:bidi="ar"/>
              </w:rPr>
            </w:pPr>
            <w:r>
              <w:rPr>
                <w:rFonts w:hint="default" w:ascii="Times New Roman" w:hAnsi="Times New Roman" w:eastAsia="仿宋_GB2312" w:cs="Times New Roman"/>
                <w:b/>
                <w:bCs/>
                <w:kern w:val="0"/>
                <w:sz w:val="24"/>
                <w:szCs w:val="24"/>
                <w:lang w:bidi="ar"/>
              </w:rPr>
              <w:t>高效</w:t>
            </w:r>
          </w:p>
        </w:tc>
        <w:tc>
          <w:tcPr>
            <w:tcW w:w="809" w:type="dxa"/>
            <w:vAlign w:val="center"/>
          </w:tcPr>
          <w:p w14:paraId="1842A386">
            <w:pPr>
              <w:spacing w:line="40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57</w:t>
            </w:r>
          </w:p>
        </w:tc>
        <w:tc>
          <w:tcPr>
            <w:tcW w:w="2691" w:type="dxa"/>
            <w:vAlign w:val="center"/>
          </w:tcPr>
          <w:p w14:paraId="5291E701">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市政管网管线智能化监测管理率（%）</w:t>
            </w:r>
          </w:p>
        </w:tc>
        <w:tc>
          <w:tcPr>
            <w:tcW w:w="9388" w:type="dxa"/>
            <w:vAlign w:val="center"/>
          </w:tcPr>
          <w:p w14:paraId="35E71A66">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市政管网管线智能化监测管理率直辖市、省会城市和计划单列市≥30%、地级市≥15%的目标要求，调查分析市辖区内城市供水、排水、燃气、供热等管线中，可由物联网等技术进行智能化监测管理的管线长度，占市政管网管线总长度的百分比，查找城市在管网漏损、运行安全等在线监测、及时预警和应急处置能力等方面存在的差距和问题。</w:t>
            </w:r>
          </w:p>
        </w:tc>
      </w:tr>
      <w:tr w14:paraId="7992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2" w:hRule="atLeast"/>
          <w:jc w:val="center"/>
        </w:trPr>
        <w:tc>
          <w:tcPr>
            <w:tcW w:w="0" w:type="auto"/>
            <w:vMerge w:val="continue"/>
            <w:tcBorders>
              <w:left w:val="single" w:color="auto" w:sz="4" w:space="0"/>
              <w:right w:val="single" w:color="auto" w:sz="4" w:space="0"/>
            </w:tcBorders>
            <w:vAlign w:val="center"/>
          </w:tcPr>
          <w:p w14:paraId="4F8F34E5">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7DEB7323">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77655C6F">
            <w:pPr>
              <w:spacing w:line="40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58</w:t>
            </w:r>
          </w:p>
        </w:tc>
        <w:tc>
          <w:tcPr>
            <w:tcW w:w="2691" w:type="dxa"/>
            <w:vAlign w:val="center"/>
          </w:tcPr>
          <w:p w14:paraId="39DD75CE">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建筑施工危险性较大的分部分项工程安全监测覆盖率（%）</w:t>
            </w:r>
          </w:p>
        </w:tc>
        <w:tc>
          <w:tcPr>
            <w:tcW w:w="9388" w:type="dxa"/>
            <w:vAlign w:val="center"/>
          </w:tcPr>
          <w:p w14:paraId="395986B7">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安全生产法关于“推行网上安全信息采集、安全监管和监测预警”的要求，调查分析市辖区房屋市政工程建筑起重机械、深基坑、高支模、城市轨道交通及市政隧道等安全风险监测数据接入城市房屋市政工程安全监管信息系统的项目数，占房屋市政工程在建工地数量的百分比，查找城市运用信息化手段，防范化解房屋市政工程领域重大安全风险方面存在的差距和问题。</w:t>
            </w:r>
          </w:p>
        </w:tc>
      </w:tr>
      <w:tr w14:paraId="63EBA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9" w:hRule="atLeast"/>
          <w:jc w:val="center"/>
        </w:trPr>
        <w:tc>
          <w:tcPr>
            <w:tcW w:w="0" w:type="auto"/>
            <w:vMerge w:val="continue"/>
            <w:tcBorders>
              <w:left w:val="single" w:color="auto" w:sz="4" w:space="0"/>
              <w:right w:val="single" w:color="auto" w:sz="4" w:space="0"/>
            </w:tcBorders>
            <w:vAlign w:val="center"/>
          </w:tcPr>
          <w:p w14:paraId="4C1AC63B">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5E905615">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23946F9C">
            <w:pPr>
              <w:spacing w:line="40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59</w:t>
            </w:r>
          </w:p>
        </w:tc>
        <w:tc>
          <w:tcPr>
            <w:tcW w:w="2691" w:type="dxa"/>
            <w:vAlign w:val="center"/>
          </w:tcPr>
          <w:p w14:paraId="63B90DCE">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高层建筑智能化火灾监测预警覆盖率（%）</w:t>
            </w:r>
          </w:p>
        </w:tc>
        <w:tc>
          <w:tcPr>
            <w:tcW w:w="9388" w:type="dxa"/>
            <w:vAlign w:val="center"/>
          </w:tcPr>
          <w:p w14:paraId="316CBB82">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高层建筑智能化火灾监测预警覆盖率达到100%的目标要求，调查分析市辖区建成区内配置了智能化火灾监测预警系统的高层建筑楼栋数量，占建成区高层建筑楼栋总数的百分比，查找城市在运用消防远程监控、火灾报警等智能信息化管理方面存在的差距和问题。</w:t>
            </w:r>
          </w:p>
        </w:tc>
      </w:tr>
      <w:tr w14:paraId="0E81F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9" w:hRule="atLeast"/>
          <w:jc w:val="center"/>
        </w:trPr>
        <w:tc>
          <w:tcPr>
            <w:tcW w:w="0" w:type="auto"/>
            <w:vMerge w:val="continue"/>
            <w:tcBorders>
              <w:left w:val="single" w:color="auto" w:sz="4" w:space="0"/>
              <w:right w:val="single" w:color="auto" w:sz="4" w:space="0"/>
            </w:tcBorders>
            <w:vAlign w:val="center"/>
          </w:tcPr>
          <w:p w14:paraId="4A1A28AC">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5EFF316F">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516CFBD7">
            <w:pPr>
              <w:spacing w:line="40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60</w:t>
            </w:r>
          </w:p>
        </w:tc>
        <w:tc>
          <w:tcPr>
            <w:tcW w:w="2691" w:type="dxa"/>
            <w:vAlign w:val="center"/>
          </w:tcPr>
          <w:p w14:paraId="44F53185">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城市信息模型（CIM）基础平台建设三维数据覆盖率（%）</w:t>
            </w:r>
          </w:p>
        </w:tc>
        <w:tc>
          <w:tcPr>
            <w:tcW w:w="9388" w:type="dxa"/>
            <w:vAlign w:val="center"/>
          </w:tcPr>
          <w:p w14:paraId="1C8A0551">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CIM基础平台建设三维数据覆盖率直辖市、省会城市和计划单列市≥60%、地级市≥30%的目标要求，调查分析城市CIM基础平台汇聚的三维数据投影面积，占建成区面积的百分比，查找城市全域三维模型覆盖、各领域应用等方面存在的差距和问题。</w:t>
            </w:r>
          </w:p>
        </w:tc>
      </w:tr>
      <w:tr w14:paraId="471F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atLeast"/>
          <w:jc w:val="center"/>
        </w:trPr>
        <w:tc>
          <w:tcPr>
            <w:tcW w:w="0" w:type="auto"/>
            <w:vMerge w:val="continue"/>
            <w:tcBorders>
              <w:left w:val="single" w:color="auto" w:sz="4" w:space="0"/>
              <w:right w:val="single" w:color="auto" w:sz="4" w:space="0"/>
            </w:tcBorders>
            <w:vAlign w:val="center"/>
          </w:tcPr>
          <w:p w14:paraId="28E0D0DA">
            <w:pPr>
              <w:spacing w:line="400" w:lineRule="exact"/>
              <w:jc w:val="center"/>
              <w:rPr>
                <w:rFonts w:hint="default" w:ascii="Times New Roman" w:hAnsi="Times New Roman" w:eastAsia="仿宋_GB2312" w:cs="Times New Roman"/>
                <w:b/>
                <w:bCs/>
                <w:kern w:val="0"/>
                <w:sz w:val="24"/>
                <w:szCs w:val="24"/>
                <w:lang w:bidi="ar"/>
              </w:rPr>
            </w:pPr>
          </w:p>
        </w:tc>
        <w:tc>
          <w:tcPr>
            <w:tcW w:w="842" w:type="dxa"/>
            <w:vMerge w:val="continue"/>
            <w:vAlign w:val="center"/>
          </w:tcPr>
          <w:p w14:paraId="57E27E1C">
            <w:pPr>
              <w:spacing w:line="400" w:lineRule="exact"/>
              <w:jc w:val="center"/>
              <w:rPr>
                <w:rFonts w:hint="default" w:ascii="Times New Roman" w:hAnsi="Times New Roman" w:eastAsia="仿宋_GB2312" w:cs="Times New Roman"/>
                <w:b/>
                <w:bCs/>
                <w:kern w:val="0"/>
                <w:sz w:val="24"/>
                <w:szCs w:val="24"/>
                <w:lang w:bidi="ar"/>
              </w:rPr>
            </w:pPr>
          </w:p>
        </w:tc>
        <w:tc>
          <w:tcPr>
            <w:tcW w:w="809" w:type="dxa"/>
            <w:vAlign w:val="center"/>
          </w:tcPr>
          <w:p w14:paraId="0C2F0FB9">
            <w:pPr>
              <w:spacing w:line="400" w:lineRule="exact"/>
              <w:jc w:val="center"/>
              <w:rPr>
                <w:rFonts w:hint="default" w:ascii="Times New Roman" w:hAnsi="Times New Roman" w:eastAsia="仿宋_GB2312" w:cs="Times New Roman"/>
                <w:bCs/>
                <w:kern w:val="0"/>
                <w:sz w:val="24"/>
                <w:szCs w:val="24"/>
                <w:lang w:bidi="ar"/>
              </w:rPr>
            </w:pPr>
            <w:r>
              <w:rPr>
                <w:rFonts w:hint="default" w:ascii="Times New Roman" w:hAnsi="Times New Roman" w:eastAsia="仿宋_GB2312" w:cs="Times New Roman"/>
                <w:bCs/>
                <w:kern w:val="0"/>
                <w:sz w:val="24"/>
                <w:szCs w:val="24"/>
                <w:lang w:bidi="ar"/>
              </w:rPr>
              <w:t>61</w:t>
            </w:r>
          </w:p>
        </w:tc>
        <w:tc>
          <w:tcPr>
            <w:tcW w:w="2691" w:type="dxa"/>
            <w:vAlign w:val="center"/>
          </w:tcPr>
          <w:p w14:paraId="0DFE8507">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城市运行管理服务平台覆盖率（%）</w:t>
            </w:r>
          </w:p>
        </w:tc>
        <w:tc>
          <w:tcPr>
            <w:tcW w:w="9388" w:type="dxa"/>
            <w:vAlign w:val="center"/>
          </w:tcPr>
          <w:p w14:paraId="2B62C30B">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到2025年城市运行管理“一网统管”体制机制基本完善的目标要求，调查分析市辖区建成区内城市运行管理服务平台覆盖的区域面积，占建成区总面积的百分比，查找城市运行管理服务平台建设、城市精细化管理方面存在的差距和问题。</w:t>
            </w:r>
          </w:p>
        </w:tc>
      </w:tr>
    </w:tbl>
    <w:p w14:paraId="45C6F952">
      <w:pPr>
        <w:pStyle w:val="64"/>
        <w:jc w:val="both"/>
        <w:rPr>
          <w:rFonts w:hint="default" w:ascii="Times New Roman" w:hAnsi="Times New Roman" w:cs="Times New Roman"/>
          <w:spacing w:val="-6"/>
        </w:rPr>
      </w:pPr>
    </w:p>
    <w:p w14:paraId="2301740B">
      <w:pPr>
        <w:rPr>
          <w:rFonts w:hint="default" w:ascii="Times New Roman" w:hAnsi="Times New Roman" w:cs="Times New Roman"/>
          <w:color w:val="000000"/>
        </w:rPr>
      </w:pPr>
      <w:r>
        <w:rPr>
          <w:rFonts w:hint="default" w:ascii="Times New Roman" w:hAnsi="Times New Roman" w:cs="Times New Roman"/>
          <w:color w:val="000000"/>
        </w:rPr>
        <w:br w:type="page"/>
      </w:r>
    </w:p>
    <w:p w14:paraId="5F600DE4">
      <w:pPr>
        <w:pStyle w:val="4"/>
        <w:ind w:left="0" w:leftChars="0" w:firstLine="0" w:firstLineChars="0"/>
        <w:jc w:val="left"/>
        <w:rPr>
          <w:rFonts w:hint="default" w:ascii="Times New Roman" w:hAnsi="Times New Roman" w:eastAsia="方正小标宋简体" w:cs="Times New Roman"/>
          <w:b w:val="0"/>
          <w:bCs w:val="0"/>
          <w:color w:val="000000"/>
        </w:rPr>
      </w:pPr>
      <w:bookmarkStart w:id="23" w:name="_Toc713966092"/>
      <w:r>
        <w:rPr>
          <w:rFonts w:hint="default" w:ascii="Times New Roman" w:hAnsi="Times New Roman" w:eastAsia="方正小标宋简体" w:cs="Times New Roman"/>
          <w:b w:val="0"/>
          <w:bCs w:val="0"/>
          <w:color w:val="000000"/>
        </w:rPr>
        <w:t>附录B 福建省2023年度城市体检基础指标</w:t>
      </w:r>
      <w:bookmarkEnd w:id="23"/>
    </w:p>
    <w:tbl>
      <w:tblPr>
        <w:tblStyle w:val="28"/>
        <w:tblpPr w:leftFromText="180" w:rightFromText="180" w:vertAnchor="text" w:horzAnchor="margin" w:tblpXSpec="center" w:tblpY="238"/>
        <w:tblOverlap w:val="never"/>
        <w:tblW w:w="147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617"/>
        <w:gridCol w:w="698"/>
        <w:gridCol w:w="2532"/>
        <w:gridCol w:w="5247"/>
        <w:gridCol w:w="1750"/>
        <w:gridCol w:w="3119"/>
      </w:tblGrid>
      <w:tr w14:paraId="54E15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blHeader/>
        </w:trPr>
        <w:tc>
          <w:tcPr>
            <w:tcW w:w="0" w:type="auto"/>
            <w:vMerge w:val="restart"/>
            <w:vAlign w:val="center"/>
          </w:tcPr>
          <w:p w14:paraId="724EA6E9">
            <w:pPr>
              <w:widowControl/>
              <w:jc w:val="center"/>
              <w:textAlignment w:val="center"/>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b/>
                <w:color w:val="000000"/>
                <w:kern w:val="0"/>
                <w:sz w:val="24"/>
                <w:szCs w:val="24"/>
                <w:lang w:bidi="ar"/>
              </w:rPr>
              <w:t>层面</w:t>
            </w:r>
          </w:p>
        </w:tc>
        <w:tc>
          <w:tcPr>
            <w:tcW w:w="0" w:type="auto"/>
            <w:vMerge w:val="restart"/>
            <w:vAlign w:val="center"/>
          </w:tcPr>
          <w:p w14:paraId="195EC326">
            <w:pPr>
              <w:widowControl/>
              <w:jc w:val="center"/>
              <w:textAlignment w:val="center"/>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b/>
                <w:color w:val="000000"/>
                <w:kern w:val="0"/>
                <w:sz w:val="24"/>
                <w:szCs w:val="24"/>
                <w:lang w:bidi="ar"/>
              </w:rPr>
              <w:t>分类</w:t>
            </w:r>
          </w:p>
        </w:tc>
        <w:tc>
          <w:tcPr>
            <w:tcW w:w="0" w:type="auto"/>
            <w:vMerge w:val="restart"/>
            <w:noWrap/>
            <w:vAlign w:val="center"/>
          </w:tcPr>
          <w:p w14:paraId="62D28027">
            <w:pPr>
              <w:widowControl/>
              <w:jc w:val="center"/>
              <w:textAlignment w:val="center"/>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b/>
                <w:color w:val="000000"/>
                <w:kern w:val="0"/>
                <w:sz w:val="24"/>
                <w:szCs w:val="24"/>
                <w:lang w:bidi="ar"/>
              </w:rPr>
              <w:t>序号</w:t>
            </w:r>
          </w:p>
        </w:tc>
        <w:tc>
          <w:tcPr>
            <w:tcW w:w="0" w:type="auto"/>
            <w:vMerge w:val="restart"/>
            <w:vAlign w:val="center"/>
          </w:tcPr>
          <w:p w14:paraId="3A024B3E">
            <w:pPr>
              <w:widowControl/>
              <w:jc w:val="center"/>
              <w:textAlignment w:val="center"/>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b/>
                <w:color w:val="000000"/>
                <w:kern w:val="0"/>
                <w:sz w:val="24"/>
                <w:szCs w:val="24"/>
                <w:lang w:bidi="ar"/>
              </w:rPr>
              <w:t>名称</w:t>
            </w:r>
          </w:p>
        </w:tc>
        <w:tc>
          <w:tcPr>
            <w:tcW w:w="0" w:type="auto"/>
            <w:vMerge w:val="restart"/>
            <w:vAlign w:val="center"/>
          </w:tcPr>
          <w:p w14:paraId="66D8E2D7">
            <w:pPr>
              <w:widowControl/>
              <w:jc w:val="center"/>
              <w:textAlignment w:val="center"/>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b/>
                <w:color w:val="000000"/>
                <w:kern w:val="0"/>
                <w:sz w:val="24"/>
                <w:szCs w:val="24"/>
                <w:lang w:bidi="ar"/>
              </w:rPr>
              <w:t>释义</w:t>
            </w:r>
          </w:p>
        </w:tc>
        <w:tc>
          <w:tcPr>
            <w:tcW w:w="0" w:type="auto"/>
            <w:vMerge w:val="restart"/>
            <w:vAlign w:val="center"/>
          </w:tcPr>
          <w:p w14:paraId="3402A28D">
            <w:pPr>
              <w:widowControl/>
              <w:jc w:val="center"/>
              <w:textAlignment w:val="center"/>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b/>
                <w:color w:val="000000"/>
                <w:kern w:val="0"/>
                <w:sz w:val="24"/>
                <w:szCs w:val="24"/>
                <w:lang w:bidi="ar"/>
              </w:rPr>
              <w:t>评价标准</w:t>
            </w:r>
          </w:p>
        </w:tc>
        <w:tc>
          <w:tcPr>
            <w:tcW w:w="3119" w:type="dxa"/>
            <w:vMerge w:val="restart"/>
            <w:vAlign w:val="center"/>
          </w:tcPr>
          <w:p w14:paraId="3A98C088">
            <w:pPr>
              <w:widowControl/>
              <w:jc w:val="center"/>
              <w:textAlignment w:val="center"/>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b/>
                <w:color w:val="000000"/>
                <w:kern w:val="0"/>
                <w:sz w:val="24"/>
                <w:szCs w:val="24"/>
                <w:lang w:bidi="ar"/>
              </w:rPr>
              <w:t>数据分解</w:t>
            </w:r>
          </w:p>
        </w:tc>
      </w:tr>
      <w:tr w14:paraId="1914E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0" w:type="auto"/>
            <w:vMerge w:val="continue"/>
            <w:vAlign w:val="center"/>
          </w:tcPr>
          <w:p w14:paraId="649C7542">
            <w:pPr>
              <w:jc w:val="center"/>
              <w:rPr>
                <w:rFonts w:hint="default" w:ascii="Times New Roman" w:hAnsi="Times New Roman" w:eastAsia="仿宋_GB2312" w:cs="Times New Roman"/>
                <w:b/>
                <w:color w:val="000000"/>
                <w:sz w:val="24"/>
                <w:szCs w:val="24"/>
              </w:rPr>
            </w:pPr>
          </w:p>
        </w:tc>
        <w:tc>
          <w:tcPr>
            <w:tcW w:w="0" w:type="auto"/>
            <w:vMerge w:val="continue"/>
            <w:vAlign w:val="center"/>
          </w:tcPr>
          <w:p w14:paraId="320AA609">
            <w:pPr>
              <w:jc w:val="center"/>
              <w:rPr>
                <w:rFonts w:hint="default" w:ascii="Times New Roman" w:hAnsi="Times New Roman" w:eastAsia="仿宋_GB2312" w:cs="Times New Roman"/>
                <w:b/>
                <w:color w:val="000000"/>
                <w:sz w:val="24"/>
                <w:szCs w:val="24"/>
              </w:rPr>
            </w:pPr>
          </w:p>
        </w:tc>
        <w:tc>
          <w:tcPr>
            <w:tcW w:w="0" w:type="auto"/>
            <w:vMerge w:val="continue"/>
            <w:noWrap/>
            <w:vAlign w:val="center"/>
          </w:tcPr>
          <w:p w14:paraId="45BFE801">
            <w:pPr>
              <w:jc w:val="center"/>
              <w:rPr>
                <w:rFonts w:hint="default" w:ascii="Times New Roman" w:hAnsi="Times New Roman" w:eastAsia="仿宋_GB2312" w:cs="Times New Roman"/>
                <w:b/>
                <w:color w:val="000000"/>
                <w:sz w:val="24"/>
                <w:szCs w:val="24"/>
              </w:rPr>
            </w:pPr>
          </w:p>
        </w:tc>
        <w:tc>
          <w:tcPr>
            <w:tcW w:w="0" w:type="auto"/>
            <w:vMerge w:val="continue"/>
            <w:vAlign w:val="center"/>
          </w:tcPr>
          <w:p w14:paraId="3CF0B126">
            <w:pPr>
              <w:jc w:val="center"/>
              <w:rPr>
                <w:rFonts w:hint="default" w:ascii="Times New Roman" w:hAnsi="Times New Roman" w:eastAsia="仿宋_GB2312" w:cs="Times New Roman"/>
                <w:b/>
                <w:color w:val="000000"/>
                <w:sz w:val="24"/>
                <w:szCs w:val="24"/>
              </w:rPr>
            </w:pPr>
          </w:p>
        </w:tc>
        <w:tc>
          <w:tcPr>
            <w:tcW w:w="0" w:type="auto"/>
            <w:vMerge w:val="continue"/>
            <w:vAlign w:val="center"/>
          </w:tcPr>
          <w:p w14:paraId="1910E962">
            <w:pPr>
              <w:jc w:val="center"/>
              <w:rPr>
                <w:rFonts w:hint="default" w:ascii="Times New Roman" w:hAnsi="Times New Roman" w:eastAsia="仿宋_GB2312" w:cs="Times New Roman"/>
                <w:b/>
                <w:color w:val="000000"/>
                <w:sz w:val="24"/>
                <w:szCs w:val="24"/>
              </w:rPr>
            </w:pPr>
          </w:p>
        </w:tc>
        <w:tc>
          <w:tcPr>
            <w:tcW w:w="0" w:type="auto"/>
            <w:vMerge w:val="continue"/>
            <w:vAlign w:val="center"/>
          </w:tcPr>
          <w:p w14:paraId="541F695F">
            <w:pPr>
              <w:jc w:val="center"/>
              <w:rPr>
                <w:rFonts w:hint="default" w:ascii="Times New Roman" w:hAnsi="Times New Roman" w:eastAsia="仿宋_GB2312" w:cs="Times New Roman"/>
                <w:b/>
                <w:color w:val="000000"/>
                <w:sz w:val="24"/>
                <w:szCs w:val="24"/>
              </w:rPr>
            </w:pPr>
          </w:p>
        </w:tc>
        <w:tc>
          <w:tcPr>
            <w:tcW w:w="3119" w:type="dxa"/>
            <w:vMerge w:val="continue"/>
            <w:vAlign w:val="center"/>
          </w:tcPr>
          <w:p w14:paraId="60F65522">
            <w:pPr>
              <w:jc w:val="center"/>
              <w:rPr>
                <w:rFonts w:hint="default" w:ascii="Times New Roman" w:hAnsi="Times New Roman" w:eastAsia="仿宋_GB2312" w:cs="Times New Roman"/>
                <w:b/>
                <w:color w:val="000000"/>
                <w:sz w:val="24"/>
                <w:szCs w:val="24"/>
              </w:rPr>
            </w:pPr>
          </w:p>
        </w:tc>
      </w:tr>
      <w:tr w14:paraId="129B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3" w:hRule="atLeast"/>
        </w:trPr>
        <w:tc>
          <w:tcPr>
            <w:tcW w:w="0" w:type="auto"/>
            <w:vMerge w:val="restart"/>
            <w:vAlign w:val="center"/>
          </w:tcPr>
          <w:p w14:paraId="61E3328E">
            <w:pPr>
              <w:pStyle w:val="64"/>
              <w:jc w:val="center"/>
              <w:rPr>
                <w:rFonts w:hint="default" w:ascii="Times New Roman" w:hAnsi="Times New Roman" w:eastAsia="仿宋_GB2312" w:cs="Times New Roman"/>
                <w:b/>
                <w:bCs/>
                <w:spacing w:val="-6"/>
                <w:sz w:val="24"/>
                <w:szCs w:val="24"/>
              </w:rPr>
            </w:pPr>
            <w:r>
              <w:rPr>
                <w:rFonts w:hint="default" w:ascii="Times New Roman" w:hAnsi="Times New Roman" w:eastAsia="仿宋_GB2312" w:cs="Times New Roman"/>
                <w:b/>
                <w:bCs/>
                <w:spacing w:val="-6"/>
                <w:sz w:val="24"/>
                <w:szCs w:val="24"/>
              </w:rPr>
              <w:t>城区</w:t>
            </w:r>
          </w:p>
          <w:p w14:paraId="20DDAF47">
            <w:pPr>
              <w:pStyle w:val="64"/>
              <w:jc w:val="center"/>
              <w:rPr>
                <w:rFonts w:hint="default" w:ascii="Times New Roman" w:hAnsi="Times New Roman" w:eastAsia="仿宋_GB2312" w:cs="Times New Roman"/>
                <w:b/>
                <w:bCs/>
                <w:spacing w:val="-6"/>
                <w:sz w:val="24"/>
                <w:szCs w:val="24"/>
              </w:rPr>
            </w:pPr>
            <w:r>
              <w:rPr>
                <w:rFonts w:hint="default" w:ascii="Times New Roman" w:hAnsi="Times New Roman" w:eastAsia="仿宋_GB2312" w:cs="Times New Roman"/>
                <w:b/>
                <w:bCs/>
                <w:spacing w:val="-6"/>
                <w:sz w:val="24"/>
                <w:szCs w:val="24"/>
              </w:rPr>
              <w:t>（城市）</w:t>
            </w:r>
          </w:p>
        </w:tc>
        <w:tc>
          <w:tcPr>
            <w:tcW w:w="0" w:type="auto"/>
            <w:vMerge w:val="restart"/>
            <w:vAlign w:val="center"/>
          </w:tcPr>
          <w:p w14:paraId="44662943">
            <w:pPr>
              <w:pStyle w:val="64"/>
              <w:jc w:val="center"/>
              <w:rPr>
                <w:rFonts w:hint="default" w:ascii="Times New Roman" w:hAnsi="Times New Roman" w:eastAsia="仿宋_GB2312" w:cs="Times New Roman"/>
                <w:b/>
                <w:bCs/>
                <w:spacing w:val="-6"/>
                <w:sz w:val="24"/>
                <w:szCs w:val="24"/>
              </w:rPr>
            </w:pPr>
            <w:r>
              <w:rPr>
                <w:rFonts w:hint="default" w:ascii="Times New Roman" w:hAnsi="Times New Roman" w:eastAsia="仿宋_GB2312" w:cs="Times New Roman"/>
                <w:b/>
                <w:bCs/>
                <w:spacing w:val="-6"/>
                <w:sz w:val="24"/>
                <w:szCs w:val="24"/>
              </w:rPr>
              <w:t>生态宜居</w:t>
            </w:r>
          </w:p>
        </w:tc>
        <w:tc>
          <w:tcPr>
            <w:tcW w:w="0" w:type="auto"/>
            <w:vMerge w:val="restart"/>
            <w:noWrap/>
            <w:vAlign w:val="center"/>
          </w:tcPr>
          <w:p w14:paraId="3E066105">
            <w:pPr>
              <w:pStyle w:val="64"/>
              <w:jc w:val="center"/>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1</w:t>
            </w:r>
          </w:p>
        </w:tc>
        <w:tc>
          <w:tcPr>
            <w:tcW w:w="0" w:type="auto"/>
            <w:vMerge w:val="restart"/>
            <w:vAlign w:val="center"/>
          </w:tcPr>
          <w:p w14:paraId="7E4AF93C">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城市路灯LED节能改造率（%）</w:t>
            </w:r>
          </w:p>
        </w:tc>
        <w:tc>
          <w:tcPr>
            <w:tcW w:w="0" w:type="auto"/>
            <w:vMerge w:val="restart"/>
            <w:vAlign w:val="center"/>
          </w:tcPr>
          <w:p w14:paraId="4A5F4847">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市辖区已完成LED节能改造的路灯数量占路灯总数的百分比</w:t>
            </w:r>
          </w:p>
        </w:tc>
        <w:tc>
          <w:tcPr>
            <w:tcW w:w="0" w:type="auto"/>
            <w:vMerge w:val="restart"/>
            <w:vAlign w:val="center"/>
          </w:tcPr>
          <w:p w14:paraId="7EAA1301">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2030年≥80%</w:t>
            </w:r>
          </w:p>
        </w:tc>
        <w:tc>
          <w:tcPr>
            <w:tcW w:w="3119" w:type="dxa"/>
            <w:vAlign w:val="center"/>
          </w:tcPr>
          <w:p w14:paraId="0C0A6E52">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1.市辖区已完成LED节能改造的路灯数量</w:t>
            </w:r>
          </w:p>
        </w:tc>
      </w:tr>
      <w:tr w14:paraId="425A1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0" w:type="auto"/>
            <w:vMerge w:val="continue"/>
            <w:vAlign w:val="center"/>
          </w:tcPr>
          <w:p w14:paraId="7C0F5F94">
            <w:pPr>
              <w:jc w:val="center"/>
              <w:textAlignment w:val="center"/>
              <w:rPr>
                <w:rFonts w:hint="default" w:ascii="Times New Roman" w:hAnsi="Times New Roman" w:eastAsia="仿宋_GB2312" w:cs="Times New Roman"/>
                <w:b/>
                <w:bCs/>
                <w:color w:val="000000"/>
                <w:spacing w:val="-6"/>
                <w:sz w:val="24"/>
                <w:szCs w:val="24"/>
              </w:rPr>
            </w:pPr>
          </w:p>
        </w:tc>
        <w:tc>
          <w:tcPr>
            <w:tcW w:w="0" w:type="auto"/>
            <w:vMerge w:val="continue"/>
            <w:vAlign w:val="center"/>
          </w:tcPr>
          <w:p w14:paraId="2A6F4CC4">
            <w:pPr>
              <w:pStyle w:val="64"/>
              <w:jc w:val="center"/>
              <w:rPr>
                <w:rFonts w:hint="default" w:ascii="Times New Roman" w:hAnsi="Times New Roman" w:eastAsia="仿宋_GB2312" w:cs="Times New Roman"/>
                <w:b/>
                <w:bCs/>
                <w:spacing w:val="-6"/>
                <w:sz w:val="24"/>
                <w:szCs w:val="24"/>
              </w:rPr>
            </w:pPr>
          </w:p>
        </w:tc>
        <w:tc>
          <w:tcPr>
            <w:tcW w:w="0" w:type="auto"/>
            <w:vMerge w:val="continue"/>
            <w:noWrap/>
            <w:vAlign w:val="center"/>
          </w:tcPr>
          <w:p w14:paraId="19733B92">
            <w:pPr>
              <w:pStyle w:val="64"/>
              <w:jc w:val="center"/>
              <w:rPr>
                <w:rFonts w:hint="default" w:ascii="Times New Roman" w:hAnsi="Times New Roman" w:eastAsia="仿宋_GB2312" w:cs="Times New Roman"/>
                <w:spacing w:val="-6"/>
                <w:sz w:val="24"/>
                <w:szCs w:val="24"/>
              </w:rPr>
            </w:pPr>
          </w:p>
        </w:tc>
        <w:tc>
          <w:tcPr>
            <w:tcW w:w="0" w:type="auto"/>
            <w:vMerge w:val="continue"/>
            <w:vAlign w:val="center"/>
          </w:tcPr>
          <w:p w14:paraId="19472988">
            <w:pPr>
              <w:pStyle w:val="64"/>
              <w:jc w:val="both"/>
              <w:rPr>
                <w:rFonts w:hint="default" w:ascii="Times New Roman" w:hAnsi="Times New Roman" w:eastAsia="仿宋_GB2312" w:cs="Times New Roman"/>
                <w:spacing w:val="-6"/>
                <w:sz w:val="24"/>
                <w:szCs w:val="24"/>
              </w:rPr>
            </w:pPr>
          </w:p>
        </w:tc>
        <w:tc>
          <w:tcPr>
            <w:tcW w:w="0" w:type="auto"/>
            <w:vMerge w:val="continue"/>
            <w:vAlign w:val="center"/>
          </w:tcPr>
          <w:p w14:paraId="26F7E3BC">
            <w:pPr>
              <w:pStyle w:val="64"/>
              <w:jc w:val="both"/>
              <w:rPr>
                <w:rFonts w:hint="default" w:ascii="Times New Roman" w:hAnsi="Times New Roman" w:eastAsia="仿宋_GB2312" w:cs="Times New Roman"/>
                <w:spacing w:val="-6"/>
                <w:sz w:val="24"/>
                <w:szCs w:val="24"/>
              </w:rPr>
            </w:pPr>
          </w:p>
        </w:tc>
        <w:tc>
          <w:tcPr>
            <w:tcW w:w="0" w:type="auto"/>
            <w:vMerge w:val="continue"/>
            <w:vAlign w:val="center"/>
          </w:tcPr>
          <w:p w14:paraId="25B4A87F">
            <w:pPr>
              <w:pStyle w:val="64"/>
              <w:jc w:val="both"/>
              <w:rPr>
                <w:rFonts w:hint="default" w:ascii="Times New Roman" w:hAnsi="Times New Roman" w:eastAsia="仿宋_GB2312" w:cs="Times New Roman"/>
                <w:spacing w:val="-6"/>
                <w:sz w:val="24"/>
                <w:szCs w:val="24"/>
              </w:rPr>
            </w:pPr>
          </w:p>
        </w:tc>
        <w:tc>
          <w:tcPr>
            <w:tcW w:w="3119" w:type="dxa"/>
            <w:vAlign w:val="center"/>
          </w:tcPr>
          <w:p w14:paraId="5C932F09">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2.市辖区路灯总数</w:t>
            </w:r>
          </w:p>
        </w:tc>
      </w:tr>
      <w:tr w14:paraId="458FD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0" w:type="auto"/>
            <w:vMerge w:val="continue"/>
            <w:vAlign w:val="center"/>
          </w:tcPr>
          <w:p w14:paraId="63503BD8">
            <w:pPr>
              <w:jc w:val="center"/>
              <w:textAlignment w:val="center"/>
              <w:rPr>
                <w:rFonts w:hint="default" w:ascii="Times New Roman" w:hAnsi="Times New Roman" w:eastAsia="仿宋_GB2312" w:cs="Times New Roman"/>
                <w:b/>
                <w:bCs/>
                <w:color w:val="000000"/>
                <w:spacing w:val="-6"/>
                <w:sz w:val="24"/>
                <w:szCs w:val="24"/>
              </w:rPr>
            </w:pPr>
          </w:p>
        </w:tc>
        <w:tc>
          <w:tcPr>
            <w:tcW w:w="0" w:type="auto"/>
            <w:vMerge w:val="continue"/>
            <w:vAlign w:val="center"/>
          </w:tcPr>
          <w:p w14:paraId="557D5FD0">
            <w:pPr>
              <w:pStyle w:val="64"/>
              <w:jc w:val="center"/>
              <w:rPr>
                <w:rFonts w:hint="default" w:ascii="Times New Roman" w:hAnsi="Times New Roman" w:eastAsia="仿宋_GB2312" w:cs="Times New Roman"/>
                <w:b/>
                <w:bCs/>
                <w:spacing w:val="-6"/>
                <w:sz w:val="24"/>
                <w:szCs w:val="24"/>
              </w:rPr>
            </w:pPr>
          </w:p>
        </w:tc>
        <w:tc>
          <w:tcPr>
            <w:tcW w:w="0" w:type="auto"/>
            <w:vMerge w:val="restart"/>
            <w:noWrap/>
            <w:vAlign w:val="center"/>
          </w:tcPr>
          <w:p w14:paraId="0CFCFE36">
            <w:pPr>
              <w:pStyle w:val="64"/>
              <w:jc w:val="center"/>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2</w:t>
            </w:r>
          </w:p>
        </w:tc>
        <w:tc>
          <w:tcPr>
            <w:tcW w:w="0" w:type="auto"/>
            <w:vMerge w:val="restart"/>
            <w:vAlign w:val="center"/>
          </w:tcPr>
          <w:p w14:paraId="1A533AC2">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立体绿化实施率（%）</w:t>
            </w:r>
          </w:p>
        </w:tc>
        <w:tc>
          <w:tcPr>
            <w:tcW w:w="0" w:type="auto"/>
            <w:vMerge w:val="restart"/>
            <w:vAlign w:val="center"/>
          </w:tcPr>
          <w:p w14:paraId="0FD4DE2B">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市辖区建成区内近三年已竣工的新建、改建公共建筑、工业建筑和市政交通设施项目中实施立体绿化的项目数量占近三年已竣工的新建、改建公共建筑、工业建筑和市政交通设施项目总数量的百分比</w:t>
            </w:r>
          </w:p>
        </w:tc>
        <w:tc>
          <w:tcPr>
            <w:tcW w:w="0" w:type="auto"/>
            <w:vAlign w:val="center"/>
          </w:tcPr>
          <w:p w14:paraId="1C9959AC">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国家生态园林城市≥15%；</w:t>
            </w:r>
          </w:p>
        </w:tc>
        <w:tc>
          <w:tcPr>
            <w:tcW w:w="3119" w:type="dxa"/>
            <w:vAlign w:val="center"/>
          </w:tcPr>
          <w:p w14:paraId="79514DB1">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1.市辖区建成区内实施立体绿化的项目数量</w:t>
            </w:r>
          </w:p>
        </w:tc>
      </w:tr>
      <w:tr w14:paraId="65C71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9" w:hRule="atLeast"/>
        </w:trPr>
        <w:tc>
          <w:tcPr>
            <w:tcW w:w="0" w:type="auto"/>
            <w:vMerge w:val="continue"/>
            <w:vAlign w:val="center"/>
          </w:tcPr>
          <w:p w14:paraId="1BA62036">
            <w:pPr>
              <w:jc w:val="center"/>
              <w:textAlignment w:val="center"/>
              <w:rPr>
                <w:rFonts w:hint="default" w:ascii="Times New Roman" w:hAnsi="Times New Roman" w:eastAsia="仿宋_GB2312" w:cs="Times New Roman"/>
                <w:b/>
                <w:bCs/>
                <w:color w:val="000000"/>
                <w:spacing w:val="-6"/>
                <w:sz w:val="24"/>
                <w:szCs w:val="24"/>
              </w:rPr>
            </w:pPr>
          </w:p>
        </w:tc>
        <w:tc>
          <w:tcPr>
            <w:tcW w:w="0" w:type="auto"/>
            <w:vMerge w:val="continue"/>
            <w:vAlign w:val="center"/>
          </w:tcPr>
          <w:p w14:paraId="745C85F3">
            <w:pPr>
              <w:pStyle w:val="64"/>
              <w:jc w:val="center"/>
              <w:rPr>
                <w:rFonts w:hint="default" w:ascii="Times New Roman" w:hAnsi="Times New Roman" w:eastAsia="仿宋_GB2312" w:cs="Times New Roman"/>
                <w:b/>
                <w:bCs/>
                <w:spacing w:val="-6"/>
                <w:sz w:val="24"/>
                <w:szCs w:val="24"/>
              </w:rPr>
            </w:pPr>
          </w:p>
        </w:tc>
        <w:tc>
          <w:tcPr>
            <w:tcW w:w="0" w:type="auto"/>
            <w:vMerge w:val="continue"/>
            <w:noWrap/>
            <w:vAlign w:val="center"/>
          </w:tcPr>
          <w:p w14:paraId="48ADF146">
            <w:pPr>
              <w:pStyle w:val="64"/>
              <w:jc w:val="center"/>
              <w:rPr>
                <w:rFonts w:hint="default" w:ascii="Times New Roman" w:hAnsi="Times New Roman" w:eastAsia="仿宋_GB2312" w:cs="Times New Roman"/>
                <w:spacing w:val="-6"/>
                <w:sz w:val="24"/>
                <w:szCs w:val="24"/>
              </w:rPr>
            </w:pPr>
          </w:p>
        </w:tc>
        <w:tc>
          <w:tcPr>
            <w:tcW w:w="0" w:type="auto"/>
            <w:vMerge w:val="continue"/>
            <w:vAlign w:val="center"/>
          </w:tcPr>
          <w:p w14:paraId="2F9AB7E0">
            <w:pPr>
              <w:pStyle w:val="64"/>
              <w:jc w:val="both"/>
              <w:rPr>
                <w:rFonts w:hint="default" w:ascii="Times New Roman" w:hAnsi="Times New Roman" w:eastAsia="仿宋_GB2312" w:cs="Times New Roman"/>
                <w:spacing w:val="-6"/>
                <w:sz w:val="24"/>
                <w:szCs w:val="24"/>
              </w:rPr>
            </w:pPr>
          </w:p>
        </w:tc>
        <w:tc>
          <w:tcPr>
            <w:tcW w:w="0" w:type="auto"/>
            <w:vMerge w:val="continue"/>
            <w:vAlign w:val="center"/>
          </w:tcPr>
          <w:p w14:paraId="592B7921">
            <w:pPr>
              <w:pStyle w:val="64"/>
              <w:jc w:val="both"/>
              <w:rPr>
                <w:rFonts w:hint="default" w:ascii="Times New Roman" w:hAnsi="Times New Roman" w:eastAsia="仿宋_GB2312" w:cs="Times New Roman"/>
                <w:spacing w:val="-6"/>
                <w:sz w:val="24"/>
                <w:szCs w:val="24"/>
              </w:rPr>
            </w:pPr>
          </w:p>
        </w:tc>
        <w:tc>
          <w:tcPr>
            <w:tcW w:w="0" w:type="auto"/>
            <w:vAlign w:val="center"/>
          </w:tcPr>
          <w:p w14:paraId="2141063F">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国家园林城市≥10%</w:t>
            </w:r>
          </w:p>
        </w:tc>
        <w:tc>
          <w:tcPr>
            <w:tcW w:w="3119" w:type="dxa"/>
            <w:vAlign w:val="center"/>
          </w:tcPr>
          <w:p w14:paraId="60F23747">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2.新建、改建的公共建筑、工业建筑和市政交通设施项目总数量</w:t>
            </w:r>
          </w:p>
        </w:tc>
      </w:tr>
      <w:tr w14:paraId="44EA5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3" w:hRule="atLeast"/>
        </w:trPr>
        <w:tc>
          <w:tcPr>
            <w:tcW w:w="0" w:type="auto"/>
            <w:vMerge w:val="continue"/>
            <w:vAlign w:val="center"/>
          </w:tcPr>
          <w:p w14:paraId="5EA20B64">
            <w:pPr>
              <w:jc w:val="center"/>
              <w:textAlignment w:val="center"/>
              <w:rPr>
                <w:rFonts w:hint="default" w:ascii="Times New Roman" w:hAnsi="Times New Roman" w:eastAsia="仿宋_GB2312" w:cs="Times New Roman"/>
                <w:b/>
                <w:bCs/>
                <w:color w:val="000000"/>
                <w:spacing w:val="-6"/>
                <w:sz w:val="24"/>
                <w:szCs w:val="24"/>
              </w:rPr>
            </w:pPr>
          </w:p>
        </w:tc>
        <w:tc>
          <w:tcPr>
            <w:tcW w:w="0" w:type="auto"/>
            <w:vMerge w:val="continue"/>
            <w:vAlign w:val="center"/>
          </w:tcPr>
          <w:p w14:paraId="2FCA60A1">
            <w:pPr>
              <w:pStyle w:val="64"/>
              <w:jc w:val="center"/>
              <w:rPr>
                <w:rFonts w:hint="default" w:ascii="Times New Roman" w:hAnsi="Times New Roman" w:eastAsia="仿宋_GB2312" w:cs="Times New Roman"/>
                <w:b/>
                <w:bCs/>
                <w:spacing w:val="-6"/>
                <w:sz w:val="24"/>
                <w:szCs w:val="24"/>
              </w:rPr>
            </w:pPr>
          </w:p>
        </w:tc>
        <w:tc>
          <w:tcPr>
            <w:tcW w:w="0" w:type="auto"/>
            <w:vMerge w:val="restart"/>
            <w:noWrap/>
            <w:vAlign w:val="center"/>
          </w:tcPr>
          <w:p w14:paraId="34193B3A">
            <w:pPr>
              <w:pStyle w:val="64"/>
              <w:jc w:val="center"/>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3</w:t>
            </w:r>
          </w:p>
        </w:tc>
        <w:tc>
          <w:tcPr>
            <w:tcW w:w="0" w:type="auto"/>
            <w:vMerge w:val="restart"/>
            <w:vAlign w:val="center"/>
          </w:tcPr>
          <w:p w14:paraId="4870CAFB">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城市道路绿化达标率（%）</w:t>
            </w:r>
          </w:p>
        </w:tc>
        <w:tc>
          <w:tcPr>
            <w:tcW w:w="0" w:type="auto"/>
            <w:vMerge w:val="restart"/>
            <w:vAlign w:val="center"/>
          </w:tcPr>
          <w:p w14:paraId="67703415">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市辖区建成区内道路绿化达到《城市道路绿化设计标准》的长度占城市道路总长度的百分比</w:t>
            </w:r>
          </w:p>
        </w:tc>
        <w:tc>
          <w:tcPr>
            <w:tcW w:w="0" w:type="auto"/>
            <w:vAlign w:val="center"/>
          </w:tcPr>
          <w:p w14:paraId="3EA70EA7">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国家生态园林城市≥85%（仅厦门市）；</w:t>
            </w:r>
          </w:p>
        </w:tc>
        <w:tc>
          <w:tcPr>
            <w:tcW w:w="3119" w:type="dxa"/>
            <w:vAlign w:val="center"/>
          </w:tcPr>
          <w:p w14:paraId="364A4591">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1.市辖区建成区内道路绿化达到《城市道路绿化设计标准》的道路长度</w:t>
            </w:r>
          </w:p>
        </w:tc>
      </w:tr>
      <w:tr w14:paraId="13B68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2" w:hRule="atLeast"/>
        </w:trPr>
        <w:tc>
          <w:tcPr>
            <w:tcW w:w="0" w:type="auto"/>
            <w:vMerge w:val="continue"/>
            <w:vAlign w:val="center"/>
          </w:tcPr>
          <w:p w14:paraId="002F5FB5">
            <w:pPr>
              <w:jc w:val="center"/>
              <w:textAlignment w:val="center"/>
              <w:rPr>
                <w:rFonts w:hint="default" w:ascii="Times New Roman" w:hAnsi="Times New Roman" w:eastAsia="仿宋_GB2312" w:cs="Times New Roman"/>
                <w:b/>
                <w:bCs/>
                <w:color w:val="000000"/>
                <w:spacing w:val="-6"/>
                <w:sz w:val="24"/>
                <w:szCs w:val="24"/>
              </w:rPr>
            </w:pPr>
          </w:p>
        </w:tc>
        <w:tc>
          <w:tcPr>
            <w:tcW w:w="0" w:type="auto"/>
            <w:vMerge w:val="continue"/>
            <w:vAlign w:val="center"/>
          </w:tcPr>
          <w:p w14:paraId="6AB5C4C1">
            <w:pPr>
              <w:pStyle w:val="64"/>
              <w:jc w:val="center"/>
              <w:rPr>
                <w:rFonts w:hint="default" w:ascii="Times New Roman" w:hAnsi="Times New Roman" w:eastAsia="仿宋_GB2312" w:cs="Times New Roman"/>
                <w:b/>
                <w:bCs/>
                <w:spacing w:val="-6"/>
                <w:sz w:val="24"/>
                <w:szCs w:val="24"/>
              </w:rPr>
            </w:pPr>
          </w:p>
        </w:tc>
        <w:tc>
          <w:tcPr>
            <w:tcW w:w="0" w:type="auto"/>
            <w:vMerge w:val="continue"/>
            <w:noWrap/>
            <w:vAlign w:val="center"/>
          </w:tcPr>
          <w:p w14:paraId="11D06D8C">
            <w:pPr>
              <w:pStyle w:val="64"/>
              <w:jc w:val="center"/>
              <w:rPr>
                <w:rFonts w:hint="default" w:ascii="Times New Roman" w:hAnsi="Times New Roman" w:eastAsia="仿宋_GB2312" w:cs="Times New Roman"/>
                <w:spacing w:val="-6"/>
                <w:sz w:val="24"/>
                <w:szCs w:val="24"/>
              </w:rPr>
            </w:pPr>
          </w:p>
        </w:tc>
        <w:tc>
          <w:tcPr>
            <w:tcW w:w="0" w:type="auto"/>
            <w:vMerge w:val="continue"/>
            <w:vAlign w:val="center"/>
          </w:tcPr>
          <w:p w14:paraId="02D10B9B">
            <w:pPr>
              <w:pStyle w:val="64"/>
              <w:jc w:val="both"/>
              <w:rPr>
                <w:rFonts w:hint="default" w:ascii="Times New Roman" w:hAnsi="Times New Roman" w:eastAsia="仿宋_GB2312" w:cs="Times New Roman"/>
                <w:spacing w:val="-6"/>
                <w:sz w:val="24"/>
                <w:szCs w:val="24"/>
              </w:rPr>
            </w:pPr>
          </w:p>
        </w:tc>
        <w:tc>
          <w:tcPr>
            <w:tcW w:w="0" w:type="auto"/>
            <w:vMerge w:val="continue"/>
            <w:vAlign w:val="center"/>
          </w:tcPr>
          <w:p w14:paraId="0B850C99">
            <w:pPr>
              <w:pStyle w:val="64"/>
              <w:jc w:val="both"/>
              <w:rPr>
                <w:rFonts w:hint="default" w:ascii="Times New Roman" w:hAnsi="Times New Roman" w:eastAsia="仿宋_GB2312" w:cs="Times New Roman"/>
                <w:spacing w:val="-6"/>
                <w:sz w:val="24"/>
                <w:szCs w:val="24"/>
              </w:rPr>
            </w:pPr>
          </w:p>
        </w:tc>
        <w:tc>
          <w:tcPr>
            <w:tcW w:w="0" w:type="auto"/>
            <w:vAlign w:val="center"/>
          </w:tcPr>
          <w:p w14:paraId="7308D6CE">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国家园林城市≥80%</w:t>
            </w:r>
          </w:p>
        </w:tc>
        <w:tc>
          <w:tcPr>
            <w:tcW w:w="3119" w:type="dxa"/>
            <w:vAlign w:val="center"/>
          </w:tcPr>
          <w:p w14:paraId="26DFBB0E">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2.市辖区建成区内城市快速路、主干路、次干路、支路总长度</w:t>
            </w:r>
          </w:p>
        </w:tc>
      </w:tr>
      <w:tr w14:paraId="49359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0" w:type="auto"/>
            <w:vMerge w:val="continue"/>
            <w:vAlign w:val="center"/>
          </w:tcPr>
          <w:p w14:paraId="1668A31E">
            <w:pPr>
              <w:jc w:val="center"/>
              <w:textAlignment w:val="center"/>
              <w:rPr>
                <w:rFonts w:hint="default" w:ascii="Times New Roman" w:hAnsi="Times New Roman" w:eastAsia="仿宋_GB2312" w:cs="Times New Roman"/>
                <w:b/>
                <w:bCs/>
                <w:color w:val="000000"/>
                <w:spacing w:val="-6"/>
                <w:sz w:val="24"/>
                <w:szCs w:val="24"/>
              </w:rPr>
            </w:pPr>
          </w:p>
        </w:tc>
        <w:tc>
          <w:tcPr>
            <w:tcW w:w="0" w:type="auto"/>
            <w:vMerge w:val="continue"/>
            <w:vAlign w:val="center"/>
          </w:tcPr>
          <w:p w14:paraId="0A269ABF">
            <w:pPr>
              <w:pStyle w:val="64"/>
              <w:jc w:val="center"/>
              <w:rPr>
                <w:rFonts w:hint="default" w:ascii="Times New Roman" w:hAnsi="Times New Roman" w:eastAsia="仿宋_GB2312" w:cs="Times New Roman"/>
                <w:b/>
                <w:bCs/>
                <w:spacing w:val="-6"/>
                <w:sz w:val="24"/>
                <w:szCs w:val="24"/>
              </w:rPr>
            </w:pPr>
          </w:p>
        </w:tc>
        <w:tc>
          <w:tcPr>
            <w:tcW w:w="0" w:type="auto"/>
            <w:vMerge w:val="restart"/>
            <w:noWrap/>
            <w:vAlign w:val="center"/>
          </w:tcPr>
          <w:p w14:paraId="74091260">
            <w:pPr>
              <w:pStyle w:val="64"/>
              <w:jc w:val="center"/>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4</w:t>
            </w:r>
          </w:p>
        </w:tc>
        <w:tc>
          <w:tcPr>
            <w:tcW w:w="0" w:type="auto"/>
            <w:vMerge w:val="restart"/>
            <w:vAlign w:val="center"/>
          </w:tcPr>
          <w:p w14:paraId="0CAF8885">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城市林荫路覆盖率（%）</w:t>
            </w:r>
          </w:p>
        </w:tc>
        <w:tc>
          <w:tcPr>
            <w:tcW w:w="0" w:type="auto"/>
            <w:vMerge w:val="restart"/>
            <w:vAlign w:val="center"/>
          </w:tcPr>
          <w:p w14:paraId="0FC0D51B">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建成区内城市次干路、支路的林荫路长度占城市次干路、支路总长度的百分比。林荫路指绿化覆盖率达到90%以上的人行道、自行车道</w:t>
            </w:r>
          </w:p>
        </w:tc>
        <w:tc>
          <w:tcPr>
            <w:tcW w:w="0" w:type="auto"/>
            <w:vAlign w:val="center"/>
          </w:tcPr>
          <w:p w14:paraId="05265C73">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国家生态园林城市≥85%；</w:t>
            </w:r>
          </w:p>
        </w:tc>
        <w:tc>
          <w:tcPr>
            <w:tcW w:w="3119" w:type="dxa"/>
            <w:vAlign w:val="center"/>
          </w:tcPr>
          <w:p w14:paraId="50C34D66">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1.市辖区建成区内城市次干路、支路的林荫路长度</w:t>
            </w:r>
          </w:p>
        </w:tc>
      </w:tr>
      <w:tr w14:paraId="4193A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2" w:hRule="atLeast"/>
        </w:trPr>
        <w:tc>
          <w:tcPr>
            <w:tcW w:w="0" w:type="auto"/>
            <w:vMerge w:val="continue"/>
            <w:vAlign w:val="center"/>
          </w:tcPr>
          <w:p w14:paraId="57C7B884">
            <w:pPr>
              <w:jc w:val="center"/>
              <w:textAlignment w:val="center"/>
              <w:rPr>
                <w:rFonts w:hint="default" w:ascii="Times New Roman" w:hAnsi="Times New Roman" w:eastAsia="仿宋_GB2312" w:cs="Times New Roman"/>
                <w:b/>
                <w:bCs/>
                <w:color w:val="000000"/>
                <w:spacing w:val="-6"/>
                <w:sz w:val="24"/>
                <w:szCs w:val="24"/>
              </w:rPr>
            </w:pPr>
          </w:p>
        </w:tc>
        <w:tc>
          <w:tcPr>
            <w:tcW w:w="0" w:type="auto"/>
            <w:vMerge w:val="continue"/>
            <w:vAlign w:val="center"/>
          </w:tcPr>
          <w:p w14:paraId="0DC7125B">
            <w:pPr>
              <w:pStyle w:val="64"/>
              <w:jc w:val="center"/>
              <w:rPr>
                <w:rFonts w:hint="default" w:ascii="Times New Roman" w:hAnsi="Times New Roman" w:eastAsia="仿宋_GB2312" w:cs="Times New Roman"/>
                <w:b/>
                <w:bCs/>
                <w:spacing w:val="-6"/>
                <w:sz w:val="24"/>
                <w:szCs w:val="24"/>
              </w:rPr>
            </w:pPr>
          </w:p>
        </w:tc>
        <w:tc>
          <w:tcPr>
            <w:tcW w:w="0" w:type="auto"/>
            <w:vMerge w:val="continue"/>
            <w:noWrap/>
            <w:vAlign w:val="center"/>
          </w:tcPr>
          <w:p w14:paraId="00A068F6">
            <w:pPr>
              <w:pStyle w:val="64"/>
              <w:jc w:val="center"/>
              <w:rPr>
                <w:rFonts w:hint="default" w:ascii="Times New Roman" w:hAnsi="Times New Roman" w:eastAsia="仿宋_GB2312" w:cs="Times New Roman"/>
                <w:spacing w:val="-6"/>
                <w:sz w:val="24"/>
                <w:szCs w:val="24"/>
              </w:rPr>
            </w:pPr>
          </w:p>
        </w:tc>
        <w:tc>
          <w:tcPr>
            <w:tcW w:w="0" w:type="auto"/>
            <w:vMerge w:val="continue"/>
            <w:vAlign w:val="center"/>
          </w:tcPr>
          <w:p w14:paraId="3D7C67C5">
            <w:pPr>
              <w:pStyle w:val="64"/>
              <w:jc w:val="both"/>
              <w:rPr>
                <w:rFonts w:hint="default" w:ascii="Times New Roman" w:hAnsi="Times New Roman" w:eastAsia="仿宋_GB2312" w:cs="Times New Roman"/>
                <w:spacing w:val="-6"/>
                <w:sz w:val="24"/>
                <w:szCs w:val="24"/>
              </w:rPr>
            </w:pPr>
          </w:p>
        </w:tc>
        <w:tc>
          <w:tcPr>
            <w:tcW w:w="0" w:type="auto"/>
            <w:vMerge w:val="continue"/>
            <w:vAlign w:val="center"/>
          </w:tcPr>
          <w:p w14:paraId="6487F597">
            <w:pPr>
              <w:pStyle w:val="64"/>
              <w:jc w:val="both"/>
              <w:rPr>
                <w:rFonts w:hint="default" w:ascii="Times New Roman" w:hAnsi="Times New Roman" w:eastAsia="仿宋_GB2312" w:cs="Times New Roman"/>
                <w:spacing w:val="-6"/>
                <w:sz w:val="24"/>
                <w:szCs w:val="24"/>
              </w:rPr>
            </w:pPr>
          </w:p>
        </w:tc>
        <w:tc>
          <w:tcPr>
            <w:tcW w:w="0" w:type="auto"/>
            <w:vAlign w:val="center"/>
          </w:tcPr>
          <w:p w14:paraId="1754711B">
            <w:pPr>
              <w:pStyle w:val="64"/>
              <w:jc w:val="both"/>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国家园林城市≥70%</w:t>
            </w:r>
          </w:p>
        </w:tc>
        <w:tc>
          <w:tcPr>
            <w:tcW w:w="3119" w:type="dxa"/>
            <w:vAlign w:val="center"/>
          </w:tcPr>
          <w:p w14:paraId="2C72F9CE">
            <w:pPr>
              <w:pStyle w:val="64"/>
              <w:ind w:left="0" w:leftChars="0" w:right="0" w:rightChars="0" w:firstLine="0" w:firstLineChars="0"/>
              <w:jc w:val="left"/>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2.市辖区建成区城市次干路、支路总长度</w:t>
            </w:r>
          </w:p>
        </w:tc>
      </w:tr>
      <w:tr w14:paraId="5925D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0" w:type="auto"/>
            <w:vMerge w:val="continue"/>
            <w:vAlign w:val="center"/>
          </w:tcPr>
          <w:p w14:paraId="34DA0D2E">
            <w:pPr>
              <w:jc w:val="center"/>
              <w:textAlignment w:val="center"/>
              <w:rPr>
                <w:rFonts w:hint="default" w:ascii="Times New Roman" w:hAnsi="Times New Roman" w:eastAsia="仿宋_GB2312" w:cs="Times New Roman"/>
                <w:b/>
                <w:bCs/>
                <w:color w:val="000000"/>
                <w:spacing w:val="-6"/>
                <w:sz w:val="24"/>
                <w:szCs w:val="24"/>
              </w:rPr>
            </w:pPr>
          </w:p>
        </w:tc>
        <w:tc>
          <w:tcPr>
            <w:tcW w:w="0" w:type="auto"/>
            <w:vMerge w:val="restart"/>
            <w:vAlign w:val="center"/>
          </w:tcPr>
          <w:p w14:paraId="6B6337DF">
            <w:pPr>
              <w:widowControl/>
              <w:jc w:val="center"/>
              <w:textAlignment w:val="center"/>
              <w:rPr>
                <w:rFonts w:hint="default" w:ascii="Times New Roman" w:hAnsi="Times New Roman" w:eastAsia="仿宋_GB2312" w:cs="Times New Roman"/>
                <w:b/>
                <w:bCs/>
                <w:color w:val="000000"/>
                <w:spacing w:val="-6"/>
                <w:kern w:val="0"/>
                <w:sz w:val="24"/>
                <w:szCs w:val="24"/>
              </w:rPr>
            </w:pPr>
            <w:r>
              <w:rPr>
                <w:rFonts w:hint="default" w:ascii="Times New Roman" w:hAnsi="Times New Roman" w:eastAsia="仿宋_GB2312" w:cs="Times New Roman"/>
                <w:b/>
                <w:bCs/>
                <w:color w:val="000000"/>
                <w:spacing w:val="-6"/>
                <w:kern w:val="0"/>
                <w:sz w:val="24"/>
                <w:szCs w:val="24"/>
              </w:rPr>
              <w:t>安全韧性</w:t>
            </w:r>
          </w:p>
        </w:tc>
        <w:tc>
          <w:tcPr>
            <w:tcW w:w="0" w:type="auto"/>
            <w:vMerge w:val="restart"/>
            <w:noWrap/>
            <w:vAlign w:val="center"/>
          </w:tcPr>
          <w:p w14:paraId="528ED796">
            <w:pPr>
              <w:widowControl/>
              <w:jc w:val="center"/>
              <w:textAlignment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5</w:t>
            </w:r>
          </w:p>
        </w:tc>
        <w:tc>
          <w:tcPr>
            <w:tcW w:w="0" w:type="auto"/>
            <w:vMerge w:val="restart"/>
            <w:vAlign w:val="center"/>
          </w:tcPr>
          <w:p w14:paraId="5AAC4513">
            <w:pPr>
              <w:widowControl/>
              <w:textAlignment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城市市管桥梁完好状态占比率（%）</w:t>
            </w:r>
          </w:p>
        </w:tc>
        <w:tc>
          <w:tcPr>
            <w:tcW w:w="0" w:type="auto"/>
            <w:vMerge w:val="restart"/>
            <w:vAlign w:val="center"/>
          </w:tcPr>
          <w:p w14:paraId="15035049">
            <w:pPr>
              <w:widowControl/>
              <w:textAlignment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城市桥梁中状态完好的桥梁数量占比</w:t>
            </w:r>
          </w:p>
        </w:tc>
        <w:tc>
          <w:tcPr>
            <w:tcW w:w="0" w:type="auto"/>
            <w:vMerge w:val="restart"/>
            <w:vAlign w:val="center"/>
          </w:tcPr>
          <w:p w14:paraId="4F9A39E6">
            <w:pPr>
              <w:widowControl/>
              <w:textAlignment w:val="center"/>
              <w:rPr>
                <w:rFonts w:hint="default" w:ascii="Times New Roman" w:hAnsi="Times New Roman" w:eastAsia="仿宋_GB2312" w:cs="Times New Roman"/>
                <w:color w:val="000000"/>
                <w:spacing w:val="-6"/>
                <w:kern w:val="0"/>
                <w:sz w:val="24"/>
                <w:szCs w:val="24"/>
              </w:rPr>
            </w:pPr>
          </w:p>
        </w:tc>
        <w:tc>
          <w:tcPr>
            <w:tcW w:w="3119" w:type="dxa"/>
            <w:vAlign w:val="center"/>
          </w:tcPr>
          <w:p w14:paraId="78B7B6DE">
            <w:pPr>
              <w:widowControl/>
              <w:textAlignment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1.市辖区内D级、E级和不合格级桥梁的数量</w:t>
            </w:r>
          </w:p>
        </w:tc>
      </w:tr>
      <w:tr w14:paraId="22141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0" w:type="auto"/>
            <w:vMerge w:val="continue"/>
            <w:vAlign w:val="center"/>
          </w:tcPr>
          <w:p w14:paraId="2198E57F">
            <w:pPr>
              <w:jc w:val="center"/>
              <w:textAlignment w:val="center"/>
              <w:rPr>
                <w:rFonts w:hint="default" w:ascii="Times New Roman" w:hAnsi="Times New Roman" w:eastAsia="仿宋_GB2312" w:cs="Times New Roman"/>
                <w:b/>
                <w:bCs/>
                <w:color w:val="000000"/>
                <w:sz w:val="24"/>
                <w:szCs w:val="24"/>
              </w:rPr>
            </w:pPr>
          </w:p>
        </w:tc>
        <w:tc>
          <w:tcPr>
            <w:tcW w:w="0" w:type="auto"/>
            <w:vMerge w:val="continue"/>
            <w:vAlign w:val="center"/>
          </w:tcPr>
          <w:p w14:paraId="2419E605">
            <w:pPr>
              <w:widowControl/>
              <w:jc w:val="center"/>
              <w:textAlignment w:val="center"/>
              <w:rPr>
                <w:rFonts w:hint="default" w:ascii="Times New Roman" w:hAnsi="Times New Roman" w:eastAsia="仿宋_GB2312" w:cs="Times New Roman"/>
                <w:b/>
                <w:bCs/>
                <w:color w:val="000000"/>
                <w:spacing w:val="-6"/>
                <w:kern w:val="0"/>
                <w:sz w:val="24"/>
                <w:szCs w:val="24"/>
              </w:rPr>
            </w:pPr>
          </w:p>
        </w:tc>
        <w:tc>
          <w:tcPr>
            <w:tcW w:w="0" w:type="auto"/>
            <w:vMerge w:val="continue"/>
            <w:noWrap/>
            <w:vAlign w:val="center"/>
          </w:tcPr>
          <w:p w14:paraId="438DE01B">
            <w:pPr>
              <w:widowControl/>
              <w:jc w:val="center"/>
              <w:textAlignment w:val="center"/>
              <w:rPr>
                <w:rFonts w:hint="default" w:ascii="Times New Roman" w:hAnsi="Times New Roman" w:eastAsia="仿宋_GB2312" w:cs="Times New Roman"/>
                <w:color w:val="000000"/>
                <w:spacing w:val="-6"/>
                <w:kern w:val="0"/>
                <w:sz w:val="24"/>
                <w:szCs w:val="24"/>
              </w:rPr>
            </w:pPr>
          </w:p>
        </w:tc>
        <w:tc>
          <w:tcPr>
            <w:tcW w:w="0" w:type="auto"/>
            <w:vMerge w:val="continue"/>
            <w:vAlign w:val="center"/>
          </w:tcPr>
          <w:p w14:paraId="4A3BD5A3">
            <w:pPr>
              <w:widowControl/>
              <w:textAlignment w:val="center"/>
              <w:rPr>
                <w:rFonts w:hint="default" w:ascii="Times New Roman" w:hAnsi="Times New Roman" w:eastAsia="仿宋_GB2312" w:cs="Times New Roman"/>
                <w:color w:val="000000"/>
                <w:spacing w:val="-6"/>
                <w:kern w:val="0"/>
                <w:sz w:val="24"/>
                <w:szCs w:val="24"/>
              </w:rPr>
            </w:pPr>
          </w:p>
        </w:tc>
        <w:tc>
          <w:tcPr>
            <w:tcW w:w="0" w:type="auto"/>
            <w:vMerge w:val="continue"/>
            <w:vAlign w:val="center"/>
          </w:tcPr>
          <w:p w14:paraId="50A991F9">
            <w:pPr>
              <w:widowControl/>
              <w:textAlignment w:val="center"/>
              <w:rPr>
                <w:rFonts w:hint="default" w:ascii="Times New Roman" w:hAnsi="Times New Roman" w:eastAsia="仿宋_GB2312" w:cs="Times New Roman"/>
                <w:color w:val="000000"/>
                <w:spacing w:val="-6"/>
                <w:kern w:val="0"/>
                <w:sz w:val="24"/>
                <w:szCs w:val="24"/>
              </w:rPr>
            </w:pPr>
          </w:p>
        </w:tc>
        <w:tc>
          <w:tcPr>
            <w:tcW w:w="0" w:type="auto"/>
            <w:vMerge w:val="continue"/>
            <w:vAlign w:val="center"/>
          </w:tcPr>
          <w:p w14:paraId="224B4A83">
            <w:pPr>
              <w:widowControl/>
              <w:textAlignment w:val="center"/>
              <w:rPr>
                <w:rFonts w:hint="default" w:ascii="Times New Roman" w:hAnsi="Times New Roman" w:eastAsia="仿宋_GB2312" w:cs="Times New Roman"/>
                <w:color w:val="000000"/>
                <w:spacing w:val="-6"/>
                <w:kern w:val="0"/>
                <w:sz w:val="24"/>
                <w:szCs w:val="24"/>
              </w:rPr>
            </w:pPr>
          </w:p>
        </w:tc>
        <w:tc>
          <w:tcPr>
            <w:tcW w:w="3119" w:type="dxa"/>
            <w:vAlign w:val="center"/>
          </w:tcPr>
          <w:p w14:paraId="4EB7CB13">
            <w:pPr>
              <w:widowControl/>
              <w:textAlignment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2.市辖区内城市桥梁总数</w:t>
            </w:r>
          </w:p>
        </w:tc>
      </w:tr>
      <w:tr w14:paraId="612F8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6" w:hRule="atLeast"/>
        </w:trPr>
        <w:tc>
          <w:tcPr>
            <w:tcW w:w="0" w:type="auto"/>
            <w:vMerge w:val="continue"/>
            <w:vAlign w:val="center"/>
          </w:tcPr>
          <w:p w14:paraId="503D2527">
            <w:pPr>
              <w:jc w:val="center"/>
              <w:textAlignment w:val="center"/>
              <w:rPr>
                <w:rFonts w:hint="default" w:ascii="Times New Roman" w:hAnsi="Times New Roman" w:eastAsia="仿宋_GB2312" w:cs="Times New Roman"/>
                <w:b/>
                <w:bCs/>
                <w:color w:val="000000"/>
                <w:sz w:val="24"/>
                <w:szCs w:val="24"/>
              </w:rPr>
            </w:pPr>
          </w:p>
        </w:tc>
        <w:tc>
          <w:tcPr>
            <w:tcW w:w="0" w:type="auto"/>
            <w:vMerge w:val="continue"/>
            <w:vAlign w:val="center"/>
          </w:tcPr>
          <w:p w14:paraId="49CA0EDC">
            <w:pPr>
              <w:widowControl/>
              <w:jc w:val="center"/>
              <w:textAlignment w:val="center"/>
              <w:rPr>
                <w:rFonts w:hint="default" w:ascii="Times New Roman" w:hAnsi="Times New Roman" w:eastAsia="仿宋_GB2312" w:cs="Times New Roman"/>
                <w:b/>
                <w:bCs/>
                <w:color w:val="000000"/>
                <w:spacing w:val="-6"/>
                <w:kern w:val="0"/>
                <w:sz w:val="24"/>
                <w:szCs w:val="24"/>
              </w:rPr>
            </w:pPr>
          </w:p>
        </w:tc>
        <w:tc>
          <w:tcPr>
            <w:tcW w:w="0" w:type="auto"/>
            <w:vMerge w:val="restart"/>
            <w:noWrap/>
            <w:vAlign w:val="center"/>
          </w:tcPr>
          <w:p w14:paraId="2F9FC031">
            <w:pPr>
              <w:widowControl/>
              <w:jc w:val="center"/>
              <w:textAlignment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6</w:t>
            </w:r>
          </w:p>
        </w:tc>
        <w:tc>
          <w:tcPr>
            <w:tcW w:w="0" w:type="auto"/>
            <w:vMerge w:val="restart"/>
            <w:vAlign w:val="center"/>
          </w:tcPr>
          <w:p w14:paraId="4F2E46F4">
            <w:pPr>
              <w:widowControl/>
              <w:textAlignment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城市可渗透地面面积比例</w:t>
            </w:r>
          </w:p>
        </w:tc>
        <w:tc>
          <w:tcPr>
            <w:tcW w:w="0" w:type="auto"/>
            <w:vMerge w:val="restart"/>
            <w:vAlign w:val="center"/>
          </w:tcPr>
          <w:p w14:paraId="235A302E">
            <w:pPr>
              <w:widowControl/>
              <w:textAlignment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市辖区建成区内具有渗透能力的地表（含水域）面积，占建成区面积的百分比</w:t>
            </w:r>
          </w:p>
        </w:tc>
        <w:tc>
          <w:tcPr>
            <w:tcW w:w="0" w:type="auto"/>
            <w:vMerge w:val="restart"/>
            <w:vAlign w:val="center"/>
          </w:tcPr>
          <w:p w14:paraId="00CB4B5B">
            <w:pPr>
              <w:widowControl/>
              <w:textAlignment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≥40%</w:t>
            </w:r>
          </w:p>
        </w:tc>
        <w:tc>
          <w:tcPr>
            <w:tcW w:w="3119" w:type="dxa"/>
            <w:vAlign w:val="center"/>
          </w:tcPr>
          <w:p w14:paraId="544E6C55">
            <w:pPr>
              <w:widowControl/>
              <w:textAlignment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1.市辖区建成区内具有渗透能力的地表（含水域）面积</w:t>
            </w:r>
          </w:p>
        </w:tc>
      </w:tr>
      <w:tr w14:paraId="2D3DF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2" w:hRule="atLeast"/>
        </w:trPr>
        <w:tc>
          <w:tcPr>
            <w:tcW w:w="0" w:type="auto"/>
            <w:vMerge w:val="continue"/>
            <w:vAlign w:val="center"/>
          </w:tcPr>
          <w:p w14:paraId="03BAB9A8">
            <w:pPr>
              <w:jc w:val="center"/>
              <w:textAlignment w:val="center"/>
              <w:rPr>
                <w:rFonts w:hint="default" w:ascii="Times New Roman" w:hAnsi="Times New Roman" w:eastAsia="仿宋_GB2312" w:cs="Times New Roman"/>
                <w:b/>
                <w:bCs/>
                <w:color w:val="000000"/>
                <w:sz w:val="24"/>
                <w:szCs w:val="24"/>
              </w:rPr>
            </w:pPr>
          </w:p>
        </w:tc>
        <w:tc>
          <w:tcPr>
            <w:tcW w:w="0" w:type="auto"/>
            <w:vMerge w:val="continue"/>
            <w:vAlign w:val="center"/>
          </w:tcPr>
          <w:p w14:paraId="7FAA1826">
            <w:pPr>
              <w:widowControl/>
              <w:jc w:val="center"/>
              <w:textAlignment w:val="center"/>
              <w:rPr>
                <w:rFonts w:hint="default" w:ascii="Times New Roman" w:hAnsi="Times New Roman" w:eastAsia="仿宋_GB2312" w:cs="Times New Roman"/>
                <w:b/>
                <w:bCs/>
                <w:color w:val="000000"/>
                <w:spacing w:val="-6"/>
                <w:kern w:val="0"/>
                <w:sz w:val="24"/>
                <w:szCs w:val="24"/>
              </w:rPr>
            </w:pPr>
          </w:p>
        </w:tc>
        <w:tc>
          <w:tcPr>
            <w:tcW w:w="0" w:type="auto"/>
            <w:vMerge w:val="continue"/>
            <w:noWrap/>
            <w:vAlign w:val="center"/>
          </w:tcPr>
          <w:p w14:paraId="26BC3071">
            <w:pPr>
              <w:widowControl/>
              <w:jc w:val="center"/>
              <w:textAlignment w:val="center"/>
              <w:rPr>
                <w:rFonts w:hint="default" w:ascii="Times New Roman" w:hAnsi="Times New Roman" w:eastAsia="仿宋_GB2312" w:cs="Times New Roman"/>
                <w:color w:val="000000"/>
                <w:spacing w:val="-6"/>
                <w:kern w:val="0"/>
                <w:sz w:val="24"/>
                <w:szCs w:val="24"/>
              </w:rPr>
            </w:pPr>
          </w:p>
        </w:tc>
        <w:tc>
          <w:tcPr>
            <w:tcW w:w="0" w:type="auto"/>
            <w:vMerge w:val="continue"/>
            <w:vAlign w:val="center"/>
          </w:tcPr>
          <w:p w14:paraId="08FA06C5">
            <w:pPr>
              <w:widowControl/>
              <w:textAlignment w:val="center"/>
              <w:rPr>
                <w:rFonts w:hint="default" w:ascii="Times New Roman" w:hAnsi="Times New Roman" w:eastAsia="仿宋_GB2312" w:cs="Times New Roman"/>
                <w:color w:val="000000"/>
                <w:spacing w:val="-6"/>
                <w:kern w:val="0"/>
                <w:sz w:val="24"/>
                <w:szCs w:val="24"/>
              </w:rPr>
            </w:pPr>
          </w:p>
        </w:tc>
        <w:tc>
          <w:tcPr>
            <w:tcW w:w="0" w:type="auto"/>
            <w:vMerge w:val="continue"/>
            <w:vAlign w:val="center"/>
          </w:tcPr>
          <w:p w14:paraId="13A05B6F">
            <w:pPr>
              <w:widowControl/>
              <w:textAlignment w:val="center"/>
              <w:rPr>
                <w:rFonts w:hint="default" w:ascii="Times New Roman" w:hAnsi="Times New Roman" w:eastAsia="仿宋_GB2312" w:cs="Times New Roman"/>
                <w:color w:val="000000"/>
                <w:spacing w:val="-6"/>
                <w:kern w:val="0"/>
                <w:sz w:val="24"/>
                <w:szCs w:val="24"/>
              </w:rPr>
            </w:pPr>
          </w:p>
        </w:tc>
        <w:tc>
          <w:tcPr>
            <w:tcW w:w="0" w:type="auto"/>
            <w:vMerge w:val="continue"/>
            <w:vAlign w:val="center"/>
          </w:tcPr>
          <w:p w14:paraId="04D3F66C">
            <w:pPr>
              <w:widowControl/>
              <w:textAlignment w:val="center"/>
              <w:rPr>
                <w:rFonts w:hint="default" w:ascii="Times New Roman" w:hAnsi="Times New Roman" w:eastAsia="仿宋_GB2312" w:cs="Times New Roman"/>
                <w:color w:val="000000"/>
                <w:spacing w:val="-6"/>
                <w:kern w:val="0"/>
                <w:sz w:val="24"/>
                <w:szCs w:val="24"/>
              </w:rPr>
            </w:pPr>
          </w:p>
        </w:tc>
        <w:tc>
          <w:tcPr>
            <w:tcW w:w="3119" w:type="dxa"/>
            <w:vAlign w:val="center"/>
          </w:tcPr>
          <w:p w14:paraId="6528005D">
            <w:pPr>
              <w:widowControl/>
              <w:textAlignment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2.市辖区建成区面积</w:t>
            </w:r>
          </w:p>
        </w:tc>
      </w:tr>
      <w:tr w14:paraId="57075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2" w:hRule="atLeast"/>
        </w:trPr>
        <w:tc>
          <w:tcPr>
            <w:tcW w:w="0" w:type="auto"/>
            <w:vMerge w:val="continue"/>
            <w:vAlign w:val="center"/>
          </w:tcPr>
          <w:p w14:paraId="25AADEEB">
            <w:pPr>
              <w:jc w:val="center"/>
              <w:textAlignment w:val="center"/>
              <w:rPr>
                <w:rFonts w:hint="default" w:ascii="Times New Roman" w:hAnsi="Times New Roman" w:eastAsia="仿宋_GB2312" w:cs="Times New Roman"/>
                <w:b/>
                <w:bCs/>
                <w:color w:val="000000"/>
                <w:sz w:val="24"/>
                <w:szCs w:val="24"/>
              </w:rPr>
            </w:pPr>
          </w:p>
        </w:tc>
        <w:tc>
          <w:tcPr>
            <w:tcW w:w="0" w:type="auto"/>
            <w:vMerge w:val="restart"/>
            <w:vAlign w:val="center"/>
          </w:tcPr>
          <w:p w14:paraId="123B1EC3">
            <w:pPr>
              <w:widowControl/>
              <w:jc w:val="center"/>
              <w:textAlignment w:val="center"/>
              <w:rPr>
                <w:rFonts w:hint="default" w:ascii="Times New Roman" w:hAnsi="Times New Roman" w:eastAsia="仿宋_GB2312" w:cs="Times New Roman"/>
                <w:b/>
                <w:bCs/>
                <w:color w:val="000000"/>
                <w:spacing w:val="-6"/>
                <w:kern w:val="0"/>
                <w:sz w:val="24"/>
                <w:szCs w:val="24"/>
              </w:rPr>
            </w:pPr>
            <w:r>
              <w:rPr>
                <w:rFonts w:hint="default" w:ascii="Times New Roman" w:hAnsi="Times New Roman" w:eastAsia="仿宋_GB2312" w:cs="Times New Roman"/>
                <w:b/>
                <w:bCs/>
                <w:color w:val="000000"/>
                <w:spacing w:val="-6"/>
                <w:kern w:val="0"/>
                <w:sz w:val="24"/>
                <w:szCs w:val="24"/>
              </w:rPr>
              <w:t>智慧高效</w:t>
            </w:r>
          </w:p>
        </w:tc>
        <w:tc>
          <w:tcPr>
            <w:tcW w:w="0" w:type="auto"/>
            <w:vMerge w:val="restart"/>
            <w:noWrap/>
            <w:vAlign w:val="center"/>
          </w:tcPr>
          <w:p w14:paraId="61C5239E">
            <w:pPr>
              <w:widowControl/>
              <w:jc w:val="center"/>
              <w:textAlignment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7</w:t>
            </w:r>
          </w:p>
        </w:tc>
        <w:tc>
          <w:tcPr>
            <w:tcW w:w="0" w:type="auto"/>
            <w:vMerge w:val="restart"/>
            <w:vAlign w:val="center"/>
          </w:tcPr>
          <w:p w14:paraId="29111AA2">
            <w:pPr>
              <w:widowControl/>
              <w:textAlignment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城市地下管网普查归档率（%）</w:t>
            </w:r>
          </w:p>
        </w:tc>
        <w:tc>
          <w:tcPr>
            <w:tcW w:w="0" w:type="auto"/>
            <w:vMerge w:val="restart"/>
            <w:vAlign w:val="center"/>
          </w:tcPr>
          <w:p w14:paraId="4FAB41A1">
            <w:pPr>
              <w:widowControl/>
              <w:textAlignment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市辖区已完成普查归档的地下管网长度占地下管网总长度的比例</w:t>
            </w:r>
          </w:p>
        </w:tc>
        <w:tc>
          <w:tcPr>
            <w:tcW w:w="0" w:type="auto"/>
            <w:vMerge w:val="restart"/>
            <w:vAlign w:val="center"/>
          </w:tcPr>
          <w:p w14:paraId="4DEC5420">
            <w:pPr>
              <w:widowControl/>
              <w:textAlignment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2025年≥90%</w:t>
            </w:r>
          </w:p>
        </w:tc>
        <w:tc>
          <w:tcPr>
            <w:tcW w:w="3119" w:type="dxa"/>
            <w:vAlign w:val="center"/>
          </w:tcPr>
          <w:p w14:paraId="649C4DDC">
            <w:pPr>
              <w:widowControl/>
              <w:textAlignment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1.市辖区已完成普查归档的地下管网长度</w:t>
            </w:r>
          </w:p>
        </w:tc>
      </w:tr>
      <w:tr w14:paraId="36A21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2" w:hRule="atLeast"/>
        </w:trPr>
        <w:tc>
          <w:tcPr>
            <w:tcW w:w="0" w:type="auto"/>
            <w:vMerge w:val="continue"/>
            <w:vAlign w:val="center"/>
          </w:tcPr>
          <w:p w14:paraId="09CED766">
            <w:pPr>
              <w:jc w:val="center"/>
              <w:textAlignment w:val="center"/>
              <w:rPr>
                <w:rFonts w:hint="default" w:ascii="Times New Roman" w:hAnsi="Times New Roman" w:eastAsia="仿宋_GB2312" w:cs="Times New Roman"/>
                <w:color w:val="000000"/>
                <w:sz w:val="24"/>
                <w:szCs w:val="24"/>
              </w:rPr>
            </w:pPr>
          </w:p>
        </w:tc>
        <w:tc>
          <w:tcPr>
            <w:tcW w:w="0" w:type="auto"/>
            <w:vMerge w:val="continue"/>
            <w:vAlign w:val="center"/>
          </w:tcPr>
          <w:p w14:paraId="16D1A0DD">
            <w:pPr>
              <w:jc w:val="center"/>
              <w:textAlignment w:val="center"/>
              <w:rPr>
                <w:rFonts w:hint="default" w:ascii="Times New Roman" w:hAnsi="Times New Roman" w:eastAsia="仿宋_GB2312" w:cs="Times New Roman"/>
                <w:color w:val="000000"/>
                <w:spacing w:val="-6"/>
                <w:kern w:val="0"/>
                <w:sz w:val="24"/>
                <w:szCs w:val="24"/>
              </w:rPr>
            </w:pPr>
          </w:p>
        </w:tc>
        <w:tc>
          <w:tcPr>
            <w:tcW w:w="0" w:type="auto"/>
            <w:vMerge w:val="continue"/>
            <w:noWrap/>
            <w:vAlign w:val="center"/>
          </w:tcPr>
          <w:p w14:paraId="39F5F80C">
            <w:pPr>
              <w:widowControl/>
              <w:jc w:val="center"/>
              <w:textAlignment w:val="center"/>
              <w:rPr>
                <w:rFonts w:hint="default" w:ascii="Times New Roman" w:hAnsi="Times New Roman" w:eastAsia="仿宋_GB2312" w:cs="Times New Roman"/>
                <w:color w:val="000000"/>
                <w:spacing w:val="-6"/>
                <w:kern w:val="0"/>
                <w:sz w:val="24"/>
                <w:szCs w:val="24"/>
              </w:rPr>
            </w:pPr>
          </w:p>
        </w:tc>
        <w:tc>
          <w:tcPr>
            <w:tcW w:w="0" w:type="auto"/>
            <w:vMerge w:val="continue"/>
            <w:vAlign w:val="center"/>
          </w:tcPr>
          <w:p w14:paraId="2DC39D2B">
            <w:pPr>
              <w:widowControl/>
              <w:textAlignment w:val="center"/>
              <w:rPr>
                <w:rFonts w:hint="default" w:ascii="Times New Roman" w:hAnsi="Times New Roman" w:eastAsia="仿宋_GB2312" w:cs="Times New Roman"/>
                <w:color w:val="000000"/>
                <w:spacing w:val="-6"/>
                <w:kern w:val="0"/>
                <w:sz w:val="24"/>
                <w:szCs w:val="24"/>
              </w:rPr>
            </w:pPr>
          </w:p>
        </w:tc>
        <w:tc>
          <w:tcPr>
            <w:tcW w:w="0" w:type="auto"/>
            <w:vMerge w:val="continue"/>
            <w:vAlign w:val="center"/>
          </w:tcPr>
          <w:p w14:paraId="3A0BDD95">
            <w:pPr>
              <w:widowControl/>
              <w:textAlignment w:val="center"/>
              <w:rPr>
                <w:rFonts w:hint="default" w:ascii="Times New Roman" w:hAnsi="Times New Roman" w:eastAsia="仿宋_GB2312" w:cs="Times New Roman"/>
                <w:color w:val="000000"/>
                <w:spacing w:val="-6"/>
                <w:kern w:val="0"/>
                <w:sz w:val="24"/>
                <w:szCs w:val="24"/>
              </w:rPr>
            </w:pPr>
          </w:p>
        </w:tc>
        <w:tc>
          <w:tcPr>
            <w:tcW w:w="0" w:type="auto"/>
            <w:vMerge w:val="continue"/>
            <w:vAlign w:val="center"/>
          </w:tcPr>
          <w:p w14:paraId="37EB1C89">
            <w:pPr>
              <w:widowControl/>
              <w:textAlignment w:val="center"/>
              <w:rPr>
                <w:rFonts w:hint="default" w:ascii="Times New Roman" w:hAnsi="Times New Roman" w:eastAsia="仿宋_GB2312" w:cs="Times New Roman"/>
                <w:color w:val="000000"/>
                <w:spacing w:val="-6"/>
                <w:kern w:val="0"/>
                <w:sz w:val="24"/>
                <w:szCs w:val="24"/>
              </w:rPr>
            </w:pPr>
          </w:p>
        </w:tc>
        <w:tc>
          <w:tcPr>
            <w:tcW w:w="3119" w:type="dxa"/>
            <w:vAlign w:val="center"/>
          </w:tcPr>
          <w:p w14:paraId="3D3AC6BB">
            <w:pPr>
              <w:widowControl/>
              <w:textAlignment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2.市辖区地下管网总长度</w:t>
            </w:r>
          </w:p>
        </w:tc>
      </w:tr>
      <w:tr w14:paraId="7B8DB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4" w:hRule="atLeast"/>
        </w:trPr>
        <w:tc>
          <w:tcPr>
            <w:tcW w:w="0" w:type="auto"/>
            <w:vMerge w:val="continue"/>
            <w:vAlign w:val="center"/>
          </w:tcPr>
          <w:p w14:paraId="5575769C">
            <w:pPr>
              <w:widowControl/>
              <w:jc w:val="center"/>
              <w:textAlignment w:val="center"/>
              <w:rPr>
                <w:rFonts w:hint="default" w:ascii="Times New Roman" w:hAnsi="Times New Roman" w:eastAsia="仿宋_GB2312" w:cs="Times New Roman"/>
                <w:color w:val="000000"/>
                <w:spacing w:val="-6"/>
                <w:kern w:val="0"/>
                <w:sz w:val="24"/>
                <w:szCs w:val="24"/>
              </w:rPr>
            </w:pPr>
          </w:p>
        </w:tc>
        <w:tc>
          <w:tcPr>
            <w:tcW w:w="0" w:type="auto"/>
            <w:vMerge w:val="continue"/>
            <w:vAlign w:val="center"/>
          </w:tcPr>
          <w:p w14:paraId="60CD36B8">
            <w:pPr>
              <w:widowControl/>
              <w:jc w:val="center"/>
              <w:textAlignment w:val="center"/>
              <w:rPr>
                <w:rFonts w:hint="default" w:ascii="Times New Roman" w:hAnsi="Times New Roman" w:eastAsia="仿宋_GB2312" w:cs="Times New Roman"/>
                <w:color w:val="000000"/>
                <w:spacing w:val="-6"/>
                <w:kern w:val="0"/>
                <w:sz w:val="24"/>
                <w:szCs w:val="24"/>
              </w:rPr>
            </w:pPr>
          </w:p>
        </w:tc>
        <w:tc>
          <w:tcPr>
            <w:tcW w:w="0" w:type="auto"/>
            <w:noWrap/>
            <w:vAlign w:val="center"/>
          </w:tcPr>
          <w:p w14:paraId="288AE4BC">
            <w:pPr>
              <w:widowControl/>
              <w:jc w:val="center"/>
              <w:textAlignment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8</w:t>
            </w:r>
          </w:p>
        </w:tc>
        <w:tc>
          <w:tcPr>
            <w:tcW w:w="0" w:type="auto"/>
            <w:vAlign w:val="center"/>
          </w:tcPr>
          <w:p w14:paraId="3127AFF9">
            <w:pPr>
              <w:widowControl/>
              <w:textAlignment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在城市信息模型平台（CIM）汇聚和应用BIM技术的项目数量（个）</w:t>
            </w:r>
          </w:p>
        </w:tc>
        <w:tc>
          <w:tcPr>
            <w:tcW w:w="0" w:type="auto"/>
            <w:vAlign w:val="center"/>
          </w:tcPr>
          <w:p w14:paraId="6ABF0755">
            <w:pPr>
              <w:widowControl/>
              <w:textAlignment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市辖区范围在城市信息模型平台汇聚和应用的建筑工程中应用BIM技术的建筑工程项目数量</w:t>
            </w:r>
          </w:p>
        </w:tc>
        <w:tc>
          <w:tcPr>
            <w:tcW w:w="0" w:type="auto"/>
            <w:vAlign w:val="center"/>
          </w:tcPr>
          <w:p w14:paraId="4BAA90D0">
            <w:pPr>
              <w:widowControl/>
              <w:textAlignment w:val="center"/>
              <w:rPr>
                <w:rFonts w:hint="default" w:ascii="Times New Roman" w:hAnsi="Times New Roman" w:eastAsia="仿宋_GB2312" w:cs="Times New Roman"/>
                <w:color w:val="000000"/>
                <w:spacing w:val="-6"/>
                <w:kern w:val="0"/>
                <w:sz w:val="24"/>
                <w:szCs w:val="24"/>
              </w:rPr>
            </w:pPr>
          </w:p>
        </w:tc>
        <w:tc>
          <w:tcPr>
            <w:tcW w:w="3119" w:type="dxa"/>
            <w:vAlign w:val="center"/>
          </w:tcPr>
          <w:p w14:paraId="56CBCD28">
            <w:pPr>
              <w:widowControl/>
              <w:textAlignment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市辖区范围在城市信息模型平台汇聚和应用的建筑工程中应用BIM技术的建筑工程项目数量</w:t>
            </w:r>
          </w:p>
        </w:tc>
      </w:tr>
    </w:tbl>
    <w:p w14:paraId="66FAA3F0">
      <w:pPr>
        <w:pStyle w:val="2"/>
        <w:ind w:left="0" w:leftChars="0" w:firstLine="0" w:firstLineChars="0"/>
        <w:rPr>
          <w:rFonts w:hint="default" w:ascii="Times New Roman" w:hAnsi="Times New Roman" w:cs="Times New Roman"/>
          <w:color w:val="000000"/>
        </w:rPr>
        <w:sectPr>
          <w:pgSz w:w="16840" w:h="11910" w:orient="landscape"/>
          <w:pgMar w:top="1100" w:right="1320" w:bottom="1180" w:left="1340" w:header="0" w:footer="984" w:gutter="0"/>
          <w:cols w:space="720" w:num="1"/>
          <w:docGrid w:linePitch="286" w:charSpace="0"/>
        </w:sectPr>
      </w:pPr>
    </w:p>
    <w:p w14:paraId="30897142">
      <w:pPr>
        <w:pStyle w:val="4"/>
        <w:keepNext/>
        <w:keepLines/>
        <w:pageBreakBefore w:val="0"/>
        <w:widowControl w:val="0"/>
        <w:kinsoku/>
        <w:wordWrap/>
        <w:overflowPunct/>
        <w:topLinePunct w:val="0"/>
        <w:autoSpaceDE/>
        <w:autoSpaceDN/>
        <w:bidi w:val="0"/>
        <w:adjustRightInd/>
        <w:snapToGrid/>
        <w:spacing w:before="0" w:after="0" w:line="500" w:lineRule="exact"/>
        <w:ind w:left="0" w:firstLine="0"/>
        <w:textAlignment w:val="auto"/>
        <w:rPr>
          <w:rFonts w:hint="default" w:ascii="Times New Roman" w:hAnsi="Times New Roman" w:eastAsia="方正小标宋简体" w:cs="Times New Roman"/>
          <w:b w:val="0"/>
          <w:bCs w:val="0"/>
          <w:color w:val="000000"/>
        </w:rPr>
      </w:pPr>
      <w:bookmarkStart w:id="24" w:name="_Toc1839254865"/>
      <w:r>
        <w:rPr>
          <w:rFonts w:hint="default" w:ascii="Times New Roman" w:hAnsi="Times New Roman" w:eastAsia="方正小标宋简体" w:cs="Times New Roman"/>
          <w:b w:val="0"/>
          <w:bCs w:val="0"/>
          <w:color w:val="000000"/>
        </w:rPr>
        <w:t>附录C 住房和城乡建设部2023年度城市体检基础指标计算解析</w:t>
      </w:r>
      <w:bookmarkEnd w:id="24"/>
    </w:p>
    <w:p w14:paraId="5D77BDC2">
      <w:pPr>
        <w:rPr>
          <w:rFonts w:hint="default" w:ascii="Times New Roman" w:hAnsi="Times New Roman" w:cs="Times New Roman"/>
        </w:rPr>
      </w:pPr>
    </w:p>
    <w:p w14:paraId="7C0A7099">
      <w:pPr>
        <w:spacing w:line="360" w:lineRule="auto"/>
        <w:ind w:firstLine="640" w:firstLineChars="200"/>
        <w:rPr>
          <w:rFonts w:hint="default" w:ascii="Times New Roman" w:hAnsi="Times New Roman" w:eastAsia="仿宋_GB2312" w:cs="Times New Roman"/>
          <w:bCs/>
          <w:iCs/>
          <w:color w:val="000000"/>
          <w:sz w:val="32"/>
          <w:szCs w:val="32"/>
        </w:rPr>
      </w:pPr>
      <w:r>
        <w:rPr>
          <w:rFonts w:hint="default" w:ascii="Times New Roman" w:hAnsi="Times New Roman" w:eastAsia="仿宋_GB2312" w:cs="Times New Roman"/>
          <w:bCs/>
          <w:iCs/>
          <w:color w:val="000000"/>
          <w:sz w:val="32"/>
          <w:szCs w:val="32"/>
        </w:rPr>
        <w:t>各城市应根据体检评估指标体系，分别从住房、小区（社区）、街区、城区（城市）四个维度确定指标数据采集来源，并把各项指标的数据采集任务分解至相关统计单元。数据采集汇总后统一建库并进行指标计算。</w:t>
      </w:r>
    </w:p>
    <w:p w14:paraId="19DB9A47">
      <w:pPr>
        <w:pStyle w:val="67"/>
        <w:numPr>
          <w:ilvl w:val="0"/>
          <w:numId w:val="0"/>
        </w:numPr>
        <w:spacing w:line="360" w:lineRule="auto"/>
        <w:ind w:hanging="420"/>
        <w:rPr>
          <w:rFonts w:hint="default" w:ascii="Times New Roman" w:hAnsi="Times New Roman" w:eastAsia="仿宋_GB2312" w:cs="Times New Roman"/>
          <w:b/>
          <w:iCs/>
          <w:color w:val="000000"/>
          <w:sz w:val="28"/>
          <w:szCs w:val="28"/>
        </w:rPr>
      </w:pPr>
      <w:r>
        <w:rPr>
          <w:rFonts w:hint="default" w:ascii="Times New Roman" w:hAnsi="Times New Roman" w:eastAsia="仿宋_GB2312" w:cs="Times New Roman"/>
          <w:b/>
          <w:iCs/>
          <w:color w:val="000000"/>
          <w:sz w:val="28"/>
          <w:szCs w:val="28"/>
        </w:rPr>
        <w:t>表1 各层次数据采集、填报、汇总、统计分析及上报主体</w:t>
      </w:r>
    </w:p>
    <w:tbl>
      <w:tblPr>
        <w:tblStyle w:val="57"/>
        <w:tblW w:w="83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48"/>
        <w:gridCol w:w="1363"/>
        <w:gridCol w:w="2192"/>
        <w:gridCol w:w="2020"/>
        <w:gridCol w:w="1005"/>
        <w:gridCol w:w="909"/>
      </w:tblGrid>
      <w:tr w14:paraId="52700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6" w:hRule="atLeast"/>
        </w:trPr>
        <w:tc>
          <w:tcPr>
            <w:tcW w:w="848" w:type="dxa"/>
            <w:vAlign w:val="center"/>
          </w:tcPr>
          <w:p w14:paraId="431CDAF9">
            <w:pPr>
              <w:adjustRightInd w:val="0"/>
              <w:spacing w:line="240" w:lineRule="auto"/>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2"/>
                <w:sz w:val="24"/>
                <w:szCs w:val="24"/>
              </w:rPr>
              <w:t>层次</w:t>
            </w:r>
          </w:p>
        </w:tc>
        <w:tc>
          <w:tcPr>
            <w:tcW w:w="1363" w:type="dxa"/>
            <w:vAlign w:val="center"/>
          </w:tcPr>
          <w:p w14:paraId="7CDC3057">
            <w:pPr>
              <w:adjustRightInd w:val="0"/>
              <w:spacing w:line="240" w:lineRule="auto"/>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1"/>
                <w:sz w:val="24"/>
                <w:szCs w:val="24"/>
              </w:rPr>
              <w:t>采集方式</w:t>
            </w:r>
          </w:p>
        </w:tc>
        <w:tc>
          <w:tcPr>
            <w:tcW w:w="2192" w:type="dxa"/>
            <w:vAlign w:val="center"/>
          </w:tcPr>
          <w:p w14:paraId="0BBBA593">
            <w:pPr>
              <w:adjustRightInd w:val="0"/>
              <w:spacing w:line="240" w:lineRule="auto"/>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1"/>
                <w:sz w:val="24"/>
                <w:szCs w:val="24"/>
              </w:rPr>
              <w:t>调研与填报</w:t>
            </w:r>
            <w:r>
              <w:rPr>
                <w:rFonts w:hint="default" w:ascii="Times New Roman" w:hAnsi="Times New Roman" w:eastAsia="仿宋_GB2312" w:cs="Times New Roman"/>
                <w:b/>
                <w:bCs/>
                <w:sz w:val="24"/>
                <w:szCs w:val="24"/>
              </w:rPr>
              <w:t>主体</w:t>
            </w:r>
          </w:p>
        </w:tc>
        <w:tc>
          <w:tcPr>
            <w:tcW w:w="2020" w:type="dxa"/>
            <w:vAlign w:val="center"/>
          </w:tcPr>
          <w:p w14:paraId="7E14FFB6">
            <w:pPr>
              <w:adjustRightInd w:val="0"/>
              <w:spacing w:line="240" w:lineRule="auto"/>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3"/>
                <w:sz w:val="24"/>
                <w:szCs w:val="24"/>
              </w:rPr>
              <w:t>汇</w:t>
            </w:r>
            <w:r>
              <w:rPr>
                <w:rFonts w:hint="default" w:ascii="Times New Roman" w:hAnsi="Times New Roman" w:eastAsia="仿宋_GB2312" w:cs="Times New Roman"/>
                <w:b/>
                <w:bCs/>
                <w:spacing w:val="-2"/>
                <w:sz w:val="24"/>
                <w:szCs w:val="24"/>
              </w:rPr>
              <w:t>总主体</w:t>
            </w:r>
          </w:p>
        </w:tc>
        <w:tc>
          <w:tcPr>
            <w:tcW w:w="0" w:type="auto"/>
            <w:vAlign w:val="center"/>
          </w:tcPr>
          <w:p w14:paraId="64131245">
            <w:pPr>
              <w:adjustRightInd w:val="0"/>
              <w:spacing w:line="240" w:lineRule="auto"/>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1"/>
                <w:sz w:val="24"/>
                <w:szCs w:val="24"/>
              </w:rPr>
              <w:t>统计分析</w:t>
            </w:r>
            <w:r>
              <w:rPr>
                <w:rFonts w:hint="default" w:ascii="Times New Roman" w:hAnsi="Times New Roman" w:eastAsia="仿宋_GB2312" w:cs="Times New Roman"/>
                <w:b/>
                <w:bCs/>
                <w:spacing w:val="-4"/>
                <w:sz w:val="24"/>
                <w:szCs w:val="24"/>
              </w:rPr>
              <w:t>主</w:t>
            </w:r>
            <w:r>
              <w:rPr>
                <w:rFonts w:hint="default" w:ascii="Times New Roman" w:hAnsi="Times New Roman" w:eastAsia="仿宋_GB2312" w:cs="Times New Roman"/>
                <w:b/>
                <w:bCs/>
                <w:spacing w:val="-2"/>
                <w:sz w:val="24"/>
                <w:szCs w:val="24"/>
              </w:rPr>
              <w:t>体</w:t>
            </w:r>
          </w:p>
        </w:tc>
        <w:tc>
          <w:tcPr>
            <w:tcW w:w="0" w:type="auto"/>
            <w:vAlign w:val="center"/>
          </w:tcPr>
          <w:p w14:paraId="114B2ECB">
            <w:pPr>
              <w:adjustRightInd w:val="0"/>
              <w:spacing w:line="240" w:lineRule="auto"/>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1"/>
                <w:sz w:val="24"/>
                <w:szCs w:val="24"/>
              </w:rPr>
              <w:t>成果上报</w:t>
            </w:r>
            <w:r>
              <w:rPr>
                <w:rFonts w:hint="default" w:ascii="Times New Roman" w:hAnsi="Times New Roman" w:eastAsia="仿宋_GB2312" w:cs="Times New Roman"/>
                <w:b/>
                <w:bCs/>
                <w:spacing w:val="-4"/>
                <w:sz w:val="24"/>
                <w:szCs w:val="24"/>
              </w:rPr>
              <w:t>主</w:t>
            </w:r>
            <w:r>
              <w:rPr>
                <w:rFonts w:hint="default" w:ascii="Times New Roman" w:hAnsi="Times New Roman" w:eastAsia="仿宋_GB2312" w:cs="Times New Roman"/>
                <w:b/>
                <w:bCs/>
                <w:spacing w:val="-2"/>
                <w:sz w:val="24"/>
                <w:szCs w:val="24"/>
              </w:rPr>
              <w:t>体</w:t>
            </w:r>
          </w:p>
        </w:tc>
      </w:tr>
      <w:tr w14:paraId="0379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trPr>
        <w:tc>
          <w:tcPr>
            <w:tcW w:w="848" w:type="dxa"/>
            <w:vAlign w:val="center"/>
          </w:tcPr>
          <w:p w14:paraId="12D2978C">
            <w:pPr>
              <w:adjustRightInd w:val="0"/>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住</w:t>
            </w:r>
            <w:r>
              <w:rPr>
                <w:rFonts w:hint="default" w:ascii="Times New Roman" w:hAnsi="Times New Roman" w:eastAsia="仿宋_GB2312" w:cs="Times New Roman"/>
                <w:spacing w:val="-3"/>
                <w:sz w:val="24"/>
                <w:szCs w:val="24"/>
              </w:rPr>
              <w:t>房</w:t>
            </w:r>
          </w:p>
        </w:tc>
        <w:tc>
          <w:tcPr>
            <w:tcW w:w="1363" w:type="dxa"/>
            <w:vMerge w:val="restart"/>
            <w:vAlign w:val="center"/>
          </w:tcPr>
          <w:p w14:paraId="20906AD6">
            <w:pPr>
              <w:adjustRightInd w:val="0"/>
              <w:spacing w:line="240" w:lineRule="auto"/>
              <w:jc w:val="center"/>
              <w:rPr>
                <w:rFonts w:hint="default" w:ascii="Times New Roman" w:hAnsi="Times New Roman" w:eastAsia="仿宋_GB2312" w:cs="Times New Roman"/>
                <w:spacing w:val="-5"/>
                <w:sz w:val="24"/>
                <w:szCs w:val="24"/>
              </w:rPr>
            </w:pPr>
            <w:r>
              <w:rPr>
                <w:rFonts w:hint="default" w:ascii="Times New Roman" w:hAnsi="Times New Roman" w:eastAsia="仿宋_GB2312" w:cs="Times New Roman"/>
                <w:spacing w:val="-5"/>
                <w:sz w:val="24"/>
                <w:szCs w:val="24"/>
              </w:rPr>
              <w:t>人工调研</w:t>
            </w:r>
          </w:p>
          <w:p w14:paraId="4BD14689">
            <w:pPr>
              <w:adjustRightInd w:val="0"/>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7"/>
                <w:sz w:val="24"/>
                <w:szCs w:val="24"/>
              </w:rPr>
              <w:t>为</w:t>
            </w:r>
            <w:r>
              <w:rPr>
                <w:rFonts w:hint="default" w:ascii="Times New Roman" w:hAnsi="Times New Roman" w:eastAsia="仿宋_GB2312" w:cs="Times New Roman"/>
                <w:spacing w:val="-6"/>
                <w:sz w:val="24"/>
                <w:szCs w:val="24"/>
              </w:rPr>
              <w:t>主</w:t>
            </w:r>
          </w:p>
        </w:tc>
        <w:tc>
          <w:tcPr>
            <w:tcW w:w="2192" w:type="dxa"/>
            <w:vMerge w:val="restart"/>
            <w:vAlign w:val="center"/>
          </w:tcPr>
          <w:p w14:paraId="24834275">
            <w:pPr>
              <w:pStyle w:val="51"/>
              <w:adjustRightInd w:val="0"/>
              <w:spacing w:line="240" w:lineRule="auto"/>
              <w:ind w:firstLine="0" w:firstLineChars="0"/>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由社区管理员</w:t>
            </w:r>
            <w:r>
              <w:rPr>
                <w:rFonts w:hint="default" w:ascii="Times New Roman" w:hAnsi="Times New Roman" w:eastAsia="仿宋_GB2312" w:cs="Times New Roman"/>
                <w:spacing w:val="-4"/>
                <w:sz w:val="24"/>
                <w:szCs w:val="24"/>
              </w:rPr>
              <w:t>现场</w:t>
            </w:r>
            <w:r>
              <w:rPr>
                <w:rFonts w:hint="default" w:ascii="Times New Roman" w:hAnsi="Times New Roman" w:eastAsia="仿宋_GB2312" w:cs="Times New Roman"/>
                <w:spacing w:val="-2"/>
                <w:sz w:val="24"/>
                <w:szCs w:val="24"/>
              </w:rPr>
              <w:t>调研并填</w:t>
            </w:r>
            <w:r>
              <w:rPr>
                <w:rFonts w:hint="default" w:ascii="Times New Roman" w:hAnsi="Times New Roman" w:eastAsia="仿宋_GB2312" w:cs="Times New Roman"/>
                <w:sz w:val="24"/>
                <w:szCs w:val="24"/>
              </w:rPr>
              <w:t>报；</w:t>
            </w:r>
          </w:p>
          <w:p w14:paraId="45AB23FC">
            <w:pPr>
              <w:pStyle w:val="51"/>
              <w:adjustRightInd w:val="0"/>
              <w:spacing w:line="240" w:lineRule="auto"/>
              <w:ind w:firstLine="0" w:firstLineChars="0"/>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部分指标由相</w:t>
            </w:r>
            <w:r>
              <w:rPr>
                <w:rFonts w:hint="default" w:ascii="Times New Roman" w:hAnsi="Times New Roman" w:eastAsia="仿宋_GB2312" w:cs="Times New Roman"/>
                <w:spacing w:val="-4"/>
                <w:sz w:val="24"/>
                <w:szCs w:val="24"/>
              </w:rPr>
              <w:t>关专</w:t>
            </w:r>
            <w:r>
              <w:rPr>
                <w:rFonts w:hint="default" w:ascii="Times New Roman" w:hAnsi="Times New Roman" w:eastAsia="仿宋_GB2312" w:cs="Times New Roman"/>
                <w:spacing w:val="-2"/>
                <w:sz w:val="24"/>
                <w:szCs w:val="24"/>
              </w:rPr>
              <w:t>业技术机</w:t>
            </w:r>
            <w:r>
              <w:rPr>
                <w:rFonts w:hint="default" w:ascii="Times New Roman" w:hAnsi="Times New Roman" w:eastAsia="仿宋_GB2312" w:cs="Times New Roman"/>
                <w:spacing w:val="-4"/>
                <w:sz w:val="24"/>
                <w:szCs w:val="24"/>
              </w:rPr>
              <w:t>构采</w:t>
            </w:r>
            <w:r>
              <w:rPr>
                <w:rFonts w:hint="default" w:ascii="Times New Roman" w:hAnsi="Times New Roman" w:eastAsia="仿宋_GB2312" w:cs="Times New Roman"/>
                <w:spacing w:val="-2"/>
                <w:sz w:val="24"/>
                <w:szCs w:val="24"/>
              </w:rPr>
              <w:t>集并填报。</w:t>
            </w:r>
          </w:p>
        </w:tc>
        <w:tc>
          <w:tcPr>
            <w:tcW w:w="2020" w:type="dxa"/>
            <w:vMerge w:val="restart"/>
            <w:vAlign w:val="center"/>
          </w:tcPr>
          <w:p w14:paraId="44B9538A">
            <w:pPr>
              <w:adjustRightInd w:val="0"/>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社</w:t>
            </w:r>
            <w:r>
              <w:rPr>
                <w:rFonts w:hint="default" w:ascii="Times New Roman" w:hAnsi="Times New Roman" w:eastAsia="仿宋_GB2312" w:cs="Times New Roman"/>
                <w:spacing w:val="-3"/>
                <w:sz w:val="24"/>
                <w:szCs w:val="24"/>
              </w:rPr>
              <w:t>区</w:t>
            </w:r>
            <w:r>
              <w:rPr>
                <w:rFonts w:hint="default" w:ascii="Times New Roman" w:hAnsi="Times New Roman" w:eastAsia="仿宋_GB2312" w:cs="Times New Roman"/>
                <w:spacing w:val="-2"/>
                <w:sz w:val="24"/>
                <w:szCs w:val="24"/>
              </w:rPr>
              <w:t>、街道</w:t>
            </w:r>
          </w:p>
        </w:tc>
        <w:tc>
          <w:tcPr>
            <w:tcW w:w="0" w:type="auto"/>
            <w:vMerge w:val="restart"/>
            <w:vAlign w:val="center"/>
          </w:tcPr>
          <w:p w14:paraId="68056791">
            <w:pPr>
              <w:pStyle w:val="51"/>
              <w:adjustRightInd w:val="0"/>
              <w:spacing w:line="240" w:lineRule="auto"/>
              <w:ind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技术团队完成数据分析</w:t>
            </w:r>
          </w:p>
        </w:tc>
        <w:tc>
          <w:tcPr>
            <w:tcW w:w="0" w:type="auto"/>
            <w:vMerge w:val="restart"/>
            <w:vAlign w:val="center"/>
          </w:tcPr>
          <w:p w14:paraId="6697DB9F">
            <w:pPr>
              <w:pStyle w:val="51"/>
              <w:adjustRightInd w:val="0"/>
              <w:spacing w:line="240" w:lineRule="auto"/>
              <w:ind w:firstLine="0" w:firstLineChars="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市、区人民政府</w:t>
            </w:r>
          </w:p>
        </w:tc>
      </w:tr>
      <w:tr w14:paraId="1B6E2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trPr>
        <w:tc>
          <w:tcPr>
            <w:tcW w:w="848" w:type="dxa"/>
            <w:vAlign w:val="center"/>
          </w:tcPr>
          <w:p w14:paraId="5BEB2090">
            <w:pPr>
              <w:adjustRightInd w:val="0"/>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小</w:t>
            </w:r>
            <w:r>
              <w:rPr>
                <w:rFonts w:hint="default" w:ascii="Times New Roman" w:hAnsi="Times New Roman" w:eastAsia="仿宋_GB2312" w:cs="Times New Roman"/>
                <w:spacing w:val="-3"/>
                <w:sz w:val="24"/>
                <w:szCs w:val="24"/>
              </w:rPr>
              <w:t>区</w:t>
            </w:r>
          </w:p>
        </w:tc>
        <w:tc>
          <w:tcPr>
            <w:tcW w:w="1363" w:type="dxa"/>
            <w:vMerge w:val="continue"/>
            <w:vAlign w:val="center"/>
          </w:tcPr>
          <w:p w14:paraId="6771848F">
            <w:pPr>
              <w:adjustRightInd w:val="0"/>
              <w:spacing w:line="240" w:lineRule="auto"/>
              <w:jc w:val="center"/>
              <w:rPr>
                <w:rFonts w:hint="default" w:ascii="Times New Roman" w:hAnsi="Times New Roman" w:eastAsia="仿宋_GB2312" w:cs="Times New Roman"/>
                <w:sz w:val="24"/>
                <w:szCs w:val="24"/>
              </w:rPr>
            </w:pPr>
          </w:p>
        </w:tc>
        <w:tc>
          <w:tcPr>
            <w:tcW w:w="2192" w:type="dxa"/>
            <w:vMerge w:val="continue"/>
            <w:vAlign w:val="center"/>
          </w:tcPr>
          <w:p w14:paraId="545192C1">
            <w:pPr>
              <w:adjustRightInd w:val="0"/>
              <w:spacing w:line="240" w:lineRule="auto"/>
              <w:jc w:val="left"/>
              <w:rPr>
                <w:rFonts w:hint="default" w:ascii="Times New Roman" w:hAnsi="Times New Roman" w:eastAsia="仿宋_GB2312" w:cs="Times New Roman"/>
                <w:sz w:val="24"/>
                <w:szCs w:val="24"/>
              </w:rPr>
            </w:pPr>
          </w:p>
        </w:tc>
        <w:tc>
          <w:tcPr>
            <w:tcW w:w="2020" w:type="dxa"/>
            <w:vMerge w:val="continue"/>
            <w:vAlign w:val="center"/>
          </w:tcPr>
          <w:p w14:paraId="20659DFA">
            <w:pPr>
              <w:adjustRightInd w:val="0"/>
              <w:spacing w:line="240" w:lineRule="auto"/>
              <w:jc w:val="center"/>
              <w:rPr>
                <w:rFonts w:hint="default" w:ascii="Times New Roman" w:hAnsi="Times New Roman" w:eastAsia="仿宋_GB2312" w:cs="Times New Roman"/>
                <w:sz w:val="24"/>
                <w:szCs w:val="24"/>
              </w:rPr>
            </w:pPr>
          </w:p>
        </w:tc>
        <w:tc>
          <w:tcPr>
            <w:tcW w:w="0" w:type="auto"/>
            <w:vMerge w:val="continue"/>
            <w:vAlign w:val="center"/>
          </w:tcPr>
          <w:p w14:paraId="383188E9">
            <w:pPr>
              <w:adjustRightInd w:val="0"/>
              <w:spacing w:line="240" w:lineRule="auto"/>
              <w:jc w:val="center"/>
              <w:rPr>
                <w:rFonts w:hint="default" w:ascii="Times New Roman" w:hAnsi="Times New Roman" w:eastAsia="仿宋_GB2312" w:cs="Times New Roman"/>
                <w:sz w:val="24"/>
                <w:szCs w:val="24"/>
              </w:rPr>
            </w:pPr>
          </w:p>
        </w:tc>
        <w:tc>
          <w:tcPr>
            <w:tcW w:w="0" w:type="auto"/>
            <w:vMerge w:val="continue"/>
            <w:vAlign w:val="center"/>
          </w:tcPr>
          <w:p w14:paraId="10AA7D34">
            <w:pPr>
              <w:adjustRightInd w:val="0"/>
              <w:spacing w:line="240" w:lineRule="auto"/>
              <w:rPr>
                <w:rFonts w:hint="default" w:ascii="Times New Roman" w:hAnsi="Times New Roman" w:eastAsia="仿宋_GB2312" w:cs="Times New Roman"/>
                <w:sz w:val="24"/>
                <w:szCs w:val="24"/>
              </w:rPr>
            </w:pPr>
          </w:p>
        </w:tc>
      </w:tr>
      <w:tr w14:paraId="6003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trPr>
        <w:tc>
          <w:tcPr>
            <w:tcW w:w="848" w:type="dxa"/>
            <w:vAlign w:val="center"/>
          </w:tcPr>
          <w:p w14:paraId="181C5E82">
            <w:pPr>
              <w:adjustRightInd w:val="0"/>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社</w:t>
            </w:r>
            <w:r>
              <w:rPr>
                <w:rFonts w:hint="default" w:ascii="Times New Roman" w:hAnsi="Times New Roman" w:eastAsia="仿宋_GB2312" w:cs="Times New Roman"/>
                <w:spacing w:val="-3"/>
                <w:sz w:val="24"/>
                <w:szCs w:val="24"/>
              </w:rPr>
              <w:t>区</w:t>
            </w:r>
          </w:p>
        </w:tc>
        <w:tc>
          <w:tcPr>
            <w:tcW w:w="1363" w:type="dxa"/>
            <w:vMerge w:val="continue"/>
            <w:vAlign w:val="center"/>
          </w:tcPr>
          <w:p w14:paraId="023DA544">
            <w:pPr>
              <w:adjustRightInd w:val="0"/>
              <w:spacing w:line="240" w:lineRule="auto"/>
              <w:jc w:val="center"/>
              <w:rPr>
                <w:rFonts w:hint="default" w:ascii="Times New Roman" w:hAnsi="Times New Roman" w:eastAsia="仿宋_GB2312" w:cs="Times New Roman"/>
                <w:sz w:val="24"/>
                <w:szCs w:val="24"/>
              </w:rPr>
            </w:pPr>
          </w:p>
        </w:tc>
        <w:tc>
          <w:tcPr>
            <w:tcW w:w="2192" w:type="dxa"/>
            <w:vMerge w:val="continue"/>
            <w:vAlign w:val="center"/>
          </w:tcPr>
          <w:p w14:paraId="12F96214">
            <w:pPr>
              <w:adjustRightInd w:val="0"/>
              <w:spacing w:line="240" w:lineRule="auto"/>
              <w:jc w:val="left"/>
              <w:rPr>
                <w:rFonts w:hint="default" w:ascii="Times New Roman" w:hAnsi="Times New Roman" w:eastAsia="仿宋_GB2312" w:cs="Times New Roman"/>
                <w:sz w:val="24"/>
                <w:szCs w:val="24"/>
              </w:rPr>
            </w:pPr>
          </w:p>
        </w:tc>
        <w:tc>
          <w:tcPr>
            <w:tcW w:w="2020" w:type="dxa"/>
            <w:vMerge w:val="continue"/>
            <w:vAlign w:val="center"/>
          </w:tcPr>
          <w:p w14:paraId="26CCDE72">
            <w:pPr>
              <w:adjustRightInd w:val="0"/>
              <w:spacing w:line="240" w:lineRule="auto"/>
              <w:jc w:val="center"/>
              <w:rPr>
                <w:rFonts w:hint="default" w:ascii="Times New Roman" w:hAnsi="Times New Roman" w:eastAsia="仿宋_GB2312" w:cs="Times New Roman"/>
                <w:sz w:val="24"/>
                <w:szCs w:val="24"/>
              </w:rPr>
            </w:pPr>
          </w:p>
        </w:tc>
        <w:tc>
          <w:tcPr>
            <w:tcW w:w="0" w:type="auto"/>
            <w:vMerge w:val="continue"/>
            <w:vAlign w:val="center"/>
          </w:tcPr>
          <w:p w14:paraId="1268C457">
            <w:pPr>
              <w:adjustRightInd w:val="0"/>
              <w:spacing w:line="240" w:lineRule="auto"/>
              <w:jc w:val="center"/>
              <w:rPr>
                <w:rFonts w:hint="default" w:ascii="Times New Roman" w:hAnsi="Times New Roman" w:eastAsia="仿宋_GB2312" w:cs="Times New Roman"/>
                <w:sz w:val="24"/>
                <w:szCs w:val="24"/>
              </w:rPr>
            </w:pPr>
          </w:p>
        </w:tc>
        <w:tc>
          <w:tcPr>
            <w:tcW w:w="0" w:type="auto"/>
            <w:vMerge w:val="continue"/>
            <w:vAlign w:val="center"/>
          </w:tcPr>
          <w:p w14:paraId="1FF7659A">
            <w:pPr>
              <w:adjustRightInd w:val="0"/>
              <w:spacing w:line="240" w:lineRule="auto"/>
              <w:rPr>
                <w:rFonts w:hint="default" w:ascii="Times New Roman" w:hAnsi="Times New Roman" w:eastAsia="仿宋_GB2312" w:cs="Times New Roman"/>
                <w:sz w:val="24"/>
                <w:szCs w:val="24"/>
              </w:rPr>
            </w:pPr>
          </w:p>
        </w:tc>
      </w:tr>
      <w:tr w14:paraId="15B78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0" w:hRule="atLeast"/>
        </w:trPr>
        <w:tc>
          <w:tcPr>
            <w:tcW w:w="848" w:type="dxa"/>
            <w:vAlign w:val="center"/>
          </w:tcPr>
          <w:p w14:paraId="07BFFB11">
            <w:pPr>
              <w:adjustRightInd w:val="0"/>
              <w:spacing w:line="240" w:lineRule="auto"/>
              <w:jc w:val="center"/>
              <w:rPr>
                <w:rFonts w:hint="default" w:ascii="Times New Roman" w:hAnsi="Times New Roman" w:eastAsia="仿宋_GB2312" w:cs="Times New Roman"/>
                <w:spacing w:val="-4"/>
                <w:sz w:val="24"/>
                <w:szCs w:val="24"/>
              </w:rPr>
            </w:pPr>
            <w:r>
              <w:rPr>
                <w:rFonts w:hint="default" w:ascii="Times New Roman" w:hAnsi="Times New Roman" w:eastAsia="仿宋_GB2312" w:cs="Times New Roman"/>
                <w:spacing w:val="-4"/>
                <w:sz w:val="24"/>
                <w:szCs w:val="24"/>
              </w:rPr>
              <w:t>街</w:t>
            </w:r>
            <w:r>
              <w:rPr>
                <w:rFonts w:hint="default" w:ascii="Times New Roman" w:hAnsi="Times New Roman" w:eastAsia="仿宋_GB2312" w:cs="Times New Roman"/>
                <w:spacing w:val="-3"/>
                <w:sz w:val="24"/>
                <w:szCs w:val="24"/>
              </w:rPr>
              <w:t>区</w:t>
            </w:r>
          </w:p>
        </w:tc>
        <w:tc>
          <w:tcPr>
            <w:tcW w:w="1363" w:type="dxa"/>
            <w:vAlign w:val="center"/>
          </w:tcPr>
          <w:p w14:paraId="2A42ECA6">
            <w:pPr>
              <w:adjustRightInd w:val="0"/>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人</w:t>
            </w:r>
            <w:r>
              <w:rPr>
                <w:rFonts w:hint="default" w:ascii="Times New Roman" w:hAnsi="Times New Roman" w:eastAsia="仿宋_GB2312" w:cs="Times New Roman"/>
                <w:spacing w:val="-3"/>
                <w:sz w:val="24"/>
                <w:szCs w:val="24"/>
              </w:rPr>
              <w:t>工调研结</w:t>
            </w:r>
            <w:r>
              <w:rPr>
                <w:rFonts w:hint="default" w:ascii="Times New Roman" w:hAnsi="Times New Roman" w:eastAsia="仿宋_GB2312" w:cs="Times New Roman"/>
                <w:spacing w:val="-5"/>
                <w:sz w:val="24"/>
                <w:szCs w:val="24"/>
              </w:rPr>
              <w:t>合</w:t>
            </w:r>
            <w:r>
              <w:rPr>
                <w:rFonts w:hint="default" w:ascii="Times New Roman" w:hAnsi="Times New Roman" w:eastAsia="仿宋_GB2312" w:cs="Times New Roman"/>
                <w:spacing w:val="-4"/>
                <w:sz w:val="24"/>
                <w:szCs w:val="24"/>
              </w:rPr>
              <w:t>部门数据、</w:t>
            </w:r>
            <w:r>
              <w:rPr>
                <w:rFonts w:hint="default" w:ascii="Times New Roman" w:hAnsi="Times New Roman" w:eastAsia="仿宋_GB2312" w:cs="Times New Roman"/>
                <w:spacing w:val="-2"/>
                <w:sz w:val="24"/>
                <w:szCs w:val="24"/>
              </w:rPr>
              <w:t>第三方</w:t>
            </w:r>
            <w:r>
              <w:rPr>
                <w:rFonts w:hint="default" w:ascii="Times New Roman" w:hAnsi="Times New Roman" w:eastAsia="仿宋_GB2312" w:cs="Times New Roman"/>
                <w:spacing w:val="-5"/>
                <w:sz w:val="24"/>
                <w:szCs w:val="24"/>
              </w:rPr>
              <w:t>数</w:t>
            </w:r>
            <w:r>
              <w:rPr>
                <w:rFonts w:hint="default" w:ascii="Times New Roman" w:hAnsi="Times New Roman" w:eastAsia="仿宋_GB2312" w:cs="Times New Roman"/>
                <w:spacing w:val="-3"/>
                <w:sz w:val="24"/>
                <w:szCs w:val="24"/>
              </w:rPr>
              <w:t>据</w:t>
            </w:r>
          </w:p>
        </w:tc>
        <w:tc>
          <w:tcPr>
            <w:tcW w:w="2192" w:type="dxa"/>
            <w:vAlign w:val="center"/>
          </w:tcPr>
          <w:p w14:paraId="3437EB84">
            <w:pPr>
              <w:pStyle w:val="51"/>
              <w:adjustRightInd w:val="0"/>
              <w:spacing w:line="240" w:lineRule="auto"/>
              <w:ind w:firstLine="0" w:firstLineChars="0"/>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由街道工作人员现场调研并填报。</w:t>
            </w:r>
          </w:p>
        </w:tc>
        <w:tc>
          <w:tcPr>
            <w:tcW w:w="2020" w:type="dxa"/>
            <w:vAlign w:val="center"/>
          </w:tcPr>
          <w:p w14:paraId="65C16EF1">
            <w:pPr>
              <w:adjustRightInd w:val="0"/>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街</w:t>
            </w:r>
            <w:r>
              <w:rPr>
                <w:rFonts w:hint="default" w:ascii="Times New Roman" w:hAnsi="Times New Roman" w:eastAsia="仿宋_GB2312" w:cs="Times New Roman"/>
                <w:spacing w:val="-3"/>
                <w:sz w:val="24"/>
                <w:szCs w:val="24"/>
              </w:rPr>
              <w:t>道</w:t>
            </w:r>
            <w:r>
              <w:rPr>
                <w:rFonts w:hint="default" w:ascii="Times New Roman" w:hAnsi="Times New Roman" w:eastAsia="仿宋_GB2312" w:cs="Times New Roman"/>
                <w:spacing w:val="-2"/>
                <w:sz w:val="24"/>
                <w:szCs w:val="24"/>
              </w:rPr>
              <w:t>、专业</w:t>
            </w:r>
            <w:r>
              <w:rPr>
                <w:rFonts w:hint="default" w:ascii="Times New Roman" w:hAnsi="Times New Roman" w:eastAsia="仿宋_GB2312" w:cs="Times New Roman"/>
                <w:spacing w:val="-14"/>
                <w:sz w:val="24"/>
                <w:szCs w:val="24"/>
              </w:rPr>
              <w:t>部</w:t>
            </w:r>
            <w:r>
              <w:rPr>
                <w:rFonts w:hint="default" w:ascii="Times New Roman" w:hAnsi="Times New Roman" w:eastAsia="仿宋_GB2312" w:cs="Times New Roman"/>
                <w:spacing w:val="-10"/>
                <w:sz w:val="24"/>
                <w:szCs w:val="24"/>
              </w:rPr>
              <w:t>门填报，</w:t>
            </w:r>
            <w:r>
              <w:rPr>
                <w:rFonts w:hint="default" w:ascii="Times New Roman" w:hAnsi="Times New Roman" w:eastAsia="仿宋_GB2312" w:cs="Times New Roman"/>
                <w:spacing w:val="-9"/>
                <w:sz w:val="24"/>
                <w:szCs w:val="24"/>
              </w:rPr>
              <w:t>区</w:t>
            </w:r>
            <w:r>
              <w:rPr>
                <w:rFonts w:hint="default" w:ascii="Times New Roman" w:hAnsi="Times New Roman" w:eastAsia="仿宋_GB2312" w:cs="Times New Roman"/>
                <w:spacing w:val="-7"/>
                <w:sz w:val="24"/>
                <w:szCs w:val="24"/>
              </w:rPr>
              <w:t>住建局汇</w:t>
            </w:r>
            <w:r>
              <w:rPr>
                <w:rFonts w:hint="default" w:ascii="Times New Roman" w:hAnsi="Times New Roman" w:eastAsia="仿宋_GB2312" w:cs="Times New Roman"/>
                <w:sz w:val="24"/>
                <w:szCs w:val="24"/>
              </w:rPr>
              <w:t>总</w:t>
            </w:r>
          </w:p>
        </w:tc>
        <w:tc>
          <w:tcPr>
            <w:tcW w:w="0" w:type="auto"/>
            <w:vAlign w:val="center"/>
          </w:tcPr>
          <w:p w14:paraId="0A296E38">
            <w:pPr>
              <w:adjustRightInd w:val="0"/>
              <w:spacing w:line="240" w:lineRule="auto"/>
              <w:jc w:val="center"/>
              <w:rPr>
                <w:rFonts w:hint="default" w:ascii="Times New Roman" w:hAnsi="Times New Roman" w:eastAsia="仿宋_GB2312" w:cs="Times New Roman"/>
                <w:sz w:val="24"/>
                <w:szCs w:val="24"/>
              </w:rPr>
            </w:pPr>
          </w:p>
        </w:tc>
        <w:tc>
          <w:tcPr>
            <w:tcW w:w="0" w:type="auto"/>
            <w:vAlign w:val="center"/>
          </w:tcPr>
          <w:p w14:paraId="25FBA576">
            <w:pPr>
              <w:adjustRightInd w:val="0"/>
              <w:spacing w:line="240" w:lineRule="auto"/>
              <w:rPr>
                <w:rFonts w:hint="default" w:ascii="Times New Roman" w:hAnsi="Times New Roman" w:eastAsia="仿宋_GB2312" w:cs="Times New Roman"/>
                <w:sz w:val="24"/>
                <w:szCs w:val="24"/>
              </w:rPr>
            </w:pPr>
          </w:p>
        </w:tc>
      </w:tr>
      <w:tr w14:paraId="35968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3" w:hRule="atLeast"/>
        </w:trPr>
        <w:tc>
          <w:tcPr>
            <w:tcW w:w="848" w:type="dxa"/>
            <w:vAlign w:val="center"/>
          </w:tcPr>
          <w:p w14:paraId="66E4EC20">
            <w:pPr>
              <w:adjustRightInd w:val="0"/>
              <w:spacing w:line="240" w:lineRule="auto"/>
              <w:jc w:val="center"/>
              <w:rPr>
                <w:rFonts w:hint="default" w:ascii="Times New Roman" w:hAnsi="Times New Roman" w:eastAsia="仿宋_GB2312" w:cs="Times New Roman"/>
                <w:spacing w:val="-4"/>
                <w:sz w:val="24"/>
                <w:szCs w:val="24"/>
              </w:rPr>
            </w:pPr>
            <w:r>
              <w:rPr>
                <w:rFonts w:hint="default" w:ascii="Times New Roman" w:hAnsi="Times New Roman" w:eastAsia="仿宋_GB2312" w:cs="Times New Roman"/>
                <w:spacing w:val="-6"/>
                <w:sz w:val="24"/>
                <w:szCs w:val="24"/>
              </w:rPr>
              <w:t>城</w:t>
            </w:r>
            <w:r>
              <w:rPr>
                <w:rFonts w:hint="default" w:ascii="Times New Roman" w:hAnsi="Times New Roman" w:eastAsia="仿宋_GB2312" w:cs="Times New Roman"/>
                <w:spacing w:val="-4"/>
                <w:sz w:val="24"/>
                <w:szCs w:val="24"/>
              </w:rPr>
              <w:t>区</w:t>
            </w:r>
          </w:p>
        </w:tc>
        <w:tc>
          <w:tcPr>
            <w:tcW w:w="1363" w:type="dxa"/>
            <w:vAlign w:val="center"/>
          </w:tcPr>
          <w:p w14:paraId="15D86FF7">
            <w:pPr>
              <w:adjustRightInd w:val="0"/>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12"/>
                <w:sz w:val="24"/>
                <w:szCs w:val="24"/>
              </w:rPr>
              <w:t>部</w:t>
            </w:r>
            <w:r>
              <w:rPr>
                <w:rFonts w:hint="default" w:ascii="Times New Roman" w:hAnsi="Times New Roman" w:eastAsia="仿宋_GB2312" w:cs="Times New Roman"/>
                <w:spacing w:val="-11"/>
                <w:sz w:val="24"/>
                <w:szCs w:val="24"/>
              </w:rPr>
              <w:t>门数据、</w:t>
            </w:r>
            <w:r>
              <w:rPr>
                <w:rFonts w:hint="default" w:ascii="Times New Roman" w:hAnsi="Times New Roman" w:eastAsia="仿宋_GB2312" w:cs="Times New Roman"/>
                <w:sz w:val="24"/>
                <w:szCs w:val="24"/>
              </w:rPr>
              <w:t xml:space="preserve"> </w:t>
            </w:r>
            <w:r>
              <w:rPr>
                <w:rFonts w:hint="default" w:ascii="Times New Roman" w:hAnsi="Times New Roman" w:eastAsia="仿宋_GB2312" w:cs="Times New Roman"/>
                <w:spacing w:val="-13"/>
                <w:sz w:val="24"/>
                <w:szCs w:val="24"/>
              </w:rPr>
              <w:t>遥</w:t>
            </w:r>
            <w:r>
              <w:rPr>
                <w:rFonts w:hint="default" w:ascii="Times New Roman" w:hAnsi="Times New Roman" w:eastAsia="仿宋_GB2312" w:cs="Times New Roman"/>
                <w:spacing w:val="-11"/>
                <w:sz w:val="24"/>
                <w:szCs w:val="24"/>
              </w:rPr>
              <w:t>感数据、</w:t>
            </w:r>
            <w:r>
              <w:rPr>
                <w:rFonts w:hint="default" w:ascii="Times New Roman" w:hAnsi="Times New Roman" w:eastAsia="仿宋_GB2312" w:cs="Times New Roman"/>
                <w:sz w:val="24"/>
                <w:szCs w:val="24"/>
              </w:rPr>
              <w:t xml:space="preserve"> </w:t>
            </w:r>
            <w:r>
              <w:rPr>
                <w:rFonts w:hint="default" w:ascii="Times New Roman" w:hAnsi="Times New Roman" w:eastAsia="仿宋_GB2312" w:cs="Times New Roman"/>
                <w:spacing w:val="-6"/>
                <w:sz w:val="24"/>
                <w:szCs w:val="24"/>
              </w:rPr>
              <w:t>第</w:t>
            </w:r>
            <w:r>
              <w:rPr>
                <w:rFonts w:hint="default" w:ascii="Times New Roman" w:hAnsi="Times New Roman" w:eastAsia="仿宋_GB2312" w:cs="Times New Roman"/>
                <w:spacing w:val="-3"/>
                <w:sz w:val="24"/>
                <w:szCs w:val="24"/>
              </w:rPr>
              <w:t>三方数据</w:t>
            </w:r>
          </w:p>
        </w:tc>
        <w:tc>
          <w:tcPr>
            <w:tcW w:w="2192" w:type="dxa"/>
            <w:vAlign w:val="center"/>
          </w:tcPr>
          <w:p w14:paraId="2F6F5324">
            <w:pPr>
              <w:pStyle w:val="51"/>
              <w:adjustRightInd w:val="0"/>
              <w:spacing w:line="240" w:lineRule="auto"/>
              <w:ind w:firstLine="0" w:firstLineChars="0"/>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各部门和体检技术团队。</w:t>
            </w:r>
          </w:p>
        </w:tc>
        <w:tc>
          <w:tcPr>
            <w:tcW w:w="2020" w:type="dxa"/>
            <w:vAlign w:val="center"/>
          </w:tcPr>
          <w:p w14:paraId="4466FC61">
            <w:pPr>
              <w:adjustRightInd w:val="0"/>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街</w:t>
            </w:r>
            <w:r>
              <w:rPr>
                <w:rFonts w:hint="default" w:ascii="Times New Roman" w:hAnsi="Times New Roman" w:eastAsia="仿宋_GB2312" w:cs="Times New Roman"/>
                <w:spacing w:val="-3"/>
                <w:sz w:val="24"/>
                <w:szCs w:val="24"/>
              </w:rPr>
              <w:t>道</w:t>
            </w:r>
            <w:r>
              <w:rPr>
                <w:rFonts w:hint="default" w:ascii="Times New Roman" w:hAnsi="Times New Roman" w:eastAsia="仿宋_GB2312" w:cs="Times New Roman"/>
                <w:spacing w:val="-2"/>
                <w:sz w:val="24"/>
                <w:szCs w:val="24"/>
              </w:rPr>
              <w:t>、专业</w:t>
            </w:r>
            <w:r>
              <w:rPr>
                <w:rFonts w:hint="default" w:ascii="Times New Roman" w:hAnsi="Times New Roman" w:eastAsia="仿宋_GB2312" w:cs="Times New Roman"/>
                <w:spacing w:val="-14"/>
                <w:sz w:val="24"/>
                <w:szCs w:val="24"/>
              </w:rPr>
              <w:t>部</w:t>
            </w:r>
            <w:r>
              <w:rPr>
                <w:rFonts w:hint="default" w:ascii="Times New Roman" w:hAnsi="Times New Roman" w:eastAsia="仿宋_GB2312" w:cs="Times New Roman"/>
                <w:spacing w:val="-10"/>
                <w:sz w:val="24"/>
                <w:szCs w:val="24"/>
              </w:rPr>
              <w:t>门填报，</w:t>
            </w:r>
            <w:r>
              <w:rPr>
                <w:rFonts w:hint="default" w:ascii="Times New Roman" w:hAnsi="Times New Roman" w:eastAsia="仿宋_GB2312" w:cs="Times New Roman"/>
                <w:spacing w:val="-7"/>
                <w:sz w:val="24"/>
                <w:szCs w:val="24"/>
              </w:rPr>
              <w:t>市</w:t>
            </w:r>
            <w:r>
              <w:rPr>
                <w:rFonts w:hint="default" w:ascii="Times New Roman" w:hAnsi="Times New Roman" w:eastAsia="仿宋_GB2312" w:cs="Times New Roman"/>
                <w:spacing w:val="-4"/>
                <w:sz w:val="24"/>
                <w:szCs w:val="24"/>
              </w:rPr>
              <w:t>住建局汇</w:t>
            </w:r>
            <w:r>
              <w:rPr>
                <w:rFonts w:hint="default" w:ascii="Times New Roman" w:hAnsi="Times New Roman" w:eastAsia="仿宋_GB2312" w:cs="Times New Roman"/>
                <w:sz w:val="24"/>
                <w:szCs w:val="24"/>
              </w:rPr>
              <w:t>总</w:t>
            </w:r>
          </w:p>
        </w:tc>
        <w:tc>
          <w:tcPr>
            <w:tcW w:w="0" w:type="auto"/>
            <w:vAlign w:val="center"/>
          </w:tcPr>
          <w:p w14:paraId="7A284BB1">
            <w:pPr>
              <w:adjustRightInd w:val="0"/>
              <w:spacing w:line="240" w:lineRule="auto"/>
              <w:jc w:val="center"/>
              <w:rPr>
                <w:rFonts w:hint="default" w:ascii="Times New Roman" w:hAnsi="Times New Roman" w:eastAsia="仿宋_GB2312" w:cs="Times New Roman"/>
                <w:sz w:val="24"/>
                <w:szCs w:val="24"/>
              </w:rPr>
            </w:pPr>
          </w:p>
        </w:tc>
        <w:tc>
          <w:tcPr>
            <w:tcW w:w="0" w:type="auto"/>
            <w:vAlign w:val="center"/>
          </w:tcPr>
          <w:p w14:paraId="5A4D78EA">
            <w:pPr>
              <w:adjustRightInd w:val="0"/>
              <w:spacing w:line="240" w:lineRule="auto"/>
              <w:rPr>
                <w:rFonts w:hint="default" w:ascii="Times New Roman" w:hAnsi="Times New Roman" w:eastAsia="仿宋_GB2312" w:cs="Times New Roman"/>
                <w:sz w:val="24"/>
                <w:szCs w:val="24"/>
              </w:rPr>
            </w:pPr>
          </w:p>
        </w:tc>
      </w:tr>
    </w:tbl>
    <w:p w14:paraId="2728AB04">
      <w:pPr>
        <w:spacing w:line="360" w:lineRule="auto"/>
        <w:rPr>
          <w:rFonts w:hint="default" w:ascii="Times New Roman" w:hAnsi="Times New Roman" w:cs="Times New Roman"/>
          <w:sz w:val="24"/>
          <w:szCs w:val="24"/>
        </w:rPr>
      </w:pPr>
    </w:p>
    <w:p w14:paraId="21D97017">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3"/>
          <w:position w:val="2"/>
          <w:sz w:val="32"/>
          <w:szCs w:val="32"/>
        </w:rPr>
        <w:t>一、住房维度</w:t>
      </w:r>
    </w:p>
    <w:p w14:paraId="7AC0A7B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统计对象：市辖区建成区内的居住建筑，重点聚焦老旧小区，包括历史文化街区、各类平房区、棚户区等，不包括城中村。</w:t>
      </w:r>
    </w:p>
    <w:p w14:paraId="2F77C09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空间范围：调查统计小区（社区）范围内的居住建筑。</w:t>
      </w:r>
    </w:p>
    <w:p w14:paraId="32DE695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体检方式：由多专业技术人员、社区管理员组成联合工作组，开展现场调研与数据填报工作。数据采集重点关注住宅建筑本身的问题和公共空间部分存在的问题；数据汇总以社区为基本单元，填报整理后统一汇总至社区所属街道（乡镇）。住房楼栋台账、住房维度调查汇总表详见附录E。</w:t>
      </w:r>
    </w:p>
    <w:p w14:paraId="5C48BC99">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pacing w:val="-3"/>
          <w:sz w:val="32"/>
          <w:szCs w:val="32"/>
        </w:rPr>
      </w:pPr>
    </w:p>
    <w:p w14:paraId="6F681A60">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3"/>
          <w:sz w:val="32"/>
          <w:szCs w:val="32"/>
        </w:rPr>
        <w:t>指标1：存在使用安全隐患的住宅数量（栋）</w:t>
      </w:r>
    </w:p>
    <w:p w14:paraId="410482CD">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1B2BE7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依托第一次全国自然灾害综合风险普查房屋建筑和市政设施调查数据，对城市住宅安全状况进行初步筛查，查找安全隐患。重点是1980年（含）以前建成且未进行加固的城市住宅，以及1981年至1990年之间建成的城市预制板砌体住宅。</w:t>
      </w:r>
    </w:p>
    <w:p w14:paraId="4C8132ED">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10E147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根据第一次全国自然灾害综合风险普查房屋建筑和市政设施调查数据库中的初步筛查数据，查找存在结构安全隐患的住房建筑。</w:t>
      </w:r>
    </w:p>
    <w:p w14:paraId="67CDF64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结合现场情况排查结构问题，例如：</w:t>
      </w:r>
    </w:p>
    <w:p w14:paraId="5D551B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1）混凝土结构构件裂缝，如承重墙体，结构梁、板，裂缝肉眼清晰可见，裂缝周边混凝土开裂明显，墙体、楼板裂缝呈贯通状；梁裂缝集中于底部，出现多条裂缝。</w:t>
      </w:r>
    </w:p>
    <w:p w14:paraId="75EB80C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2）砖混结构主体出现砖体缺棱掉角、表面存在裂缝，砂浆饱满度差，呈粉末状，砖与砂浆之间存在较大缝隙。</w:t>
      </w:r>
    </w:p>
    <w:p w14:paraId="70D0858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3）违规拆除结构承重构件，如户内承重墙体拆墙打洞，底商或者地库框架柱拆除，砖混结构拆除阳台承重墙垛等。</w:t>
      </w:r>
    </w:p>
    <w:p w14:paraId="53314F5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4）违规加建悬挑飘窗。</w:t>
      </w:r>
    </w:p>
    <w:p w14:paraId="6A94CFA2">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25B651A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物业了解情况并调取相关资料、人工查看、专业仪器进行测量、专业检测机构进行检测。</w:t>
      </w:r>
    </w:p>
    <w:p w14:paraId="4B5F7349">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【示范案例】</w:t>
      </w:r>
    </w:p>
    <w:p w14:paraId="26CE1E4F">
      <w:pPr>
        <w:spacing w:line="360" w:lineRule="auto"/>
        <w:jc w:val="center"/>
        <w:rPr>
          <w:rFonts w:hint="default" w:ascii="Times New Roman" w:hAnsi="Times New Roman" w:eastAsia="仿宋_GB2312" w:cs="Times New Roman"/>
          <w:b/>
          <w:bCs/>
          <w:spacing w:val="1"/>
          <w:sz w:val="32"/>
          <w:szCs w:val="32"/>
        </w:rPr>
      </w:pPr>
      <w:r>
        <w:rPr>
          <w:rFonts w:hint="default" w:ascii="Times New Roman" w:hAnsi="Times New Roman" w:eastAsia="仿宋_GB2312" w:cs="Times New Roman"/>
          <w:b/>
          <w:bCs/>
          <w:spacing w:val="2"/>
          <w:sz w:val="32"/>
          <w:szCs w:val="32"/>
        </w:rPr>
        <w:t>___</w:t>
      </w:r>
      <w:r>
        <w:rPr>
          <w:rFonts w:hint="default" w:ascii="Times New Roman" w:hAnsi="Times New Roman" w:eastAsia="仿宋_GB2312" w:cs="Times New Roman"/>
          <w:b/>
          <w:bCs/>
          <w:spacing w:val="1"/>
          <w:sz w:val="32"/>
          <w:szCs w:val="32"/>
        </w:rPr>
        <w:t>__社区住房维度具体问题</w:t>
      </w:r>
    </w:p>
    <w:p w14:paraId="0CF185E7">
      <w:pPr>
        <w:pStyle w:val="2"/>
        <w:rPr>
          <w:rFonts w:hint="default" w:ascii="Times New Roman" w:hAnsi="Times New Roman" w:cs="Times New Roman"/>
        </w:rPr>
      </w:pPr>
    </w:p>
    <w:tbl>
      <w:tblPr>
        <w:tblStyle w:val="57"/>
        <w:tblW w:w="879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0"/>
        <w:gridCol w:w="7090"/>
      </w:tblGrid>
      <w:tr w14:paraId="1CF584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0" w:hRule="atLeast"/>
          <w:jc w:val="center"/>
        </w:trPr>
        <w:tc>
          <w:tcPr>
            <w:tcW w:w="1700" w:type="dxa"/>
            <w:vAlign w:val="center"/>
          </w:tcPr>
          <w:p w14:paraId="287E0031">
            <w:pPr>
              <w:spacing w:line="240" w:lineRule="auto"/>
              <w:jc w:val="center"/>
              <w:rPr>
                <w:rFonts w:hint="default" w:ascii="Times New Roman" w:hAnsi="Times New Roman" w:eastAsia="华文仿宋" w:cs="Times New Roman"/>
                <w:b/>
                <w:bCs/>
                <w:sz w:val="24"/>
                <w:szCs w:val="24"/>
              </w:rPr>
            </w:pPr>
            <w:r>
              <w:rPr>
                <w:rFonts w:hint="default" w:ascii="Times New Roman" w:hAnsi="Times New Roman" w:eastAsia="华文仿宋" w:cs="Times New Roman"/>
                <w:b/>
                <w:bCs/>
                <w:spacing w:val="-12"/>
                <w:sz w:val="24"/>
                <w:szCs w:val="24"/>
              </w:rPr>
              <w:t>问</w:t>
            </w:r>
            <w:r>
              <w:rPr>
                <w:rFonts w:hint="default" w:ascii="Times New Roman" w:hAnsi="Times New Roman" w:eastAsia="华文仿宋" w:cs="Times New Roman"/>
                <w:b/>
                <w:bCs/>
                <w:spacing w:val="-11"/>
                <w:sz w:val="24"/>
                <w:szCs w:val="24"/>
              </w:rPr>
              <w:t>题</w:t>
            </w:r>
          </w:p>
        </w:tc>
        <w:tc>
          <w:tcPr>
            <w:tcW w:w="7090" w:type="dxa"/>
            <w:vAlign w:val="center"/>
          </w:tcPr>
          <w:p w14:paraId="50EE818B">
            <w:pPr>
              <w:spacing w:line="240" w:lineRule="auto"/>
              <w:jc w:val="center"/>
              <w:rPr>
                <w:rFonts w:hint="default" w:ascii="Times New Roman" w:hAnsi="Times New Roman" w:eastAsia="华文仿宋" w:cs="Times New Roman"/>
                <w:b/>
                <w:bCs/>
                <w:sz w:val="24"/>
                <w:szCs w:val="24"/>
              </w:rPr>
            </w:pPr>
            <w:r>
              <w:rPr>
                <w:rFonts w:hint="default" w:ascii="Times New Roman" w:hAnsi="Times New Roman" w:eastAsia="华文仿宋" w:cs="Times New Roman"/>
                <w:b/>
                <w:bCs/>
                <w:spacing w:val="-6"/>
                <w:sz w:val="24"/>
                <w:szCs w:val="24"/>
              </w:rPr>
              <w:t>照片</w:t>
            </w:r>
          </w:p>
        </w:tc>
      </w:tr>
      <w:tr w14:paraId="13B10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4" w:hRule="atLeast"/>
          <w:jc w:val="center"/>
        </w:trPr>
        <w:tc>
          <w:tcPr>
            <w:tcW w:w="1700" w:type="dxa"/>
            <w:vAlign w:val="center"/>
          </w:tcPr>
          <w:p w14:paraId="16B3B573">
            <w:pPr>
              <w:spacing w:line="240" w:lineRule="auto"/>
              <w:ind w:firstLine="6"/>
              <w:jc w:val="center"/>
              <w:rPr>
                <w:rFonts w:hint="default" w:ascii="Times New Roman" w:hAnsi="Times New Roman" w:eastAsia="华文仿宋" w:cs="Times New Roman"/>
                <w:sz w:val="24"/>
                <w:szCs w:val="24"/>
              </w:rPr>
            </w:pPr>
            <w:r>
              <w:rPr>
                <w:rFonts w:hint="default" w:ascii="Times New Roman" w:hAnsi="Times New Roman" w:eastAsia="华文仿宋" w:cs="Times New Roman"/>
                <w:spacing w:val="9"/>
                <w:sz w:val="24"/>
                <w:szCs w:val="24"/>
              </w:rPr>
              <w:t>1</w:t>
            </w:r>
            <w:r>
              <w:rPr>
                <w:rFonts w:hint="default" w:ascii="Times New Roman" w:hAnsi="Times New Roman" w:eastAsia="华文仿宋" w:cs="Times New Roman"/>
                <w:spacing w:val="6"/>
                <w:sz w:val="24"/>
                <w:szCs w:val="24"/>
              </w:rPr>
              <w:t>.*号楼*</w:t>
            </w:r>
            <w:r>
              <w:rPr>
                <w:rFonts w:hint="default" w:ascii="Times New Roman" w:hAnsi="Times New Roman" w:eastAsia="华文仿宋" w:cs="Times New Roman"/>
                <w:spacing w:val="-15"/>
                <w:sz w:val="24"/>
                <w:szCs w:val="24"/>
              </w:rPr>
              <w:t>单</w:t>
            </w:r>
            <w:r>
              <w:rPr>
                <w:rFonts w:hint="default" w:ascii="Times New Roman" w:hAnsi="Times New Roman" w:eastAsia="华文仿宋" w:cs="Times New Roman"/>
                <w:spacing w:val="-11"/>
                <w:sz w:val="24"/>
                <w:szCs w:val="24"/>
              </w:rPr>
              <w:t>元*层的</w:t>
            </w:r>
            <w:r>
              <w:rPr>
                <w:rFonts w:hint="default" w:ascii="Times New Roman" w:hAnsi="Times New Roman" w:eastAsia="华文仿宋" w:cs="Times New Roman"/>
                <w:spacing w:val="12"/>
                <w:sz w:val="24"/>
                <w:szCs w:val="24"/>
              </w:rPr>
              <w:t>结</w:t>
            </w:r>
            <w:r>
              <w:rPr>
                <w:rFonts w:hint="default" w:ascii="Times New Roman" w:hAnsi="Times New Roman" w:eastAsia="华文仿宋" w:cs="Times New Roman"/>
                <w:spacing w:val="11"/>
                <w:sz w:val="24"/>
                <w:szCs w:val="24"/>
              </w:rPr>
              <w:t>构混凝土</w:t>
            </w:r>
            <w:r>
              <w:rPr>
                <w:rFonts w:hint="default" w:ascii="Times New Roman" w:hAnsi="Times New Roman" w:eastAsia="华文仿宋" w:cs="Times New Roman"/>
                <w:spacing w:val="-3"/>
                <w:sz w:val="24"/>
                <w:szCs w:val="24"/>
              </w:rPr>
              <w:t>构件开裂。</w:t>
            </w:r>
          </w:p>
        </w:tc>
        <w:tc>
          <w:tcPr>
            <w:tcW w:w="7090" w:type="dxa"/>
            <w:vAlign w:val="center"/>
          </w:tcPr>
          <w:p w14:paraId="189620CA">
            <w:pPr>
              <w:spacing w:line="240" w:lineRule="auto"/>
              <w:ind w:firstLine="228"/>
              <w:jc w:val="center"/>
              <w:textAlignment w:val="center"/>
              <w:rPr>
                <w:rFonts w:hint="default" w:ascii="Times New Roman" w:hAnsi="Times New Roman" w:eastAsia="华文仿宋" w:cs="Times New Roman"/>
                <w:sz w:val="24"/>
                <w:szCs w:val="24"/>
              </w:rPr>
            </w:pPr>
            <w:r>
              <w:rPr>
                <w:rFonts w:hint="default" w:ascii="Times New Roman" w:hAnsi="Times New Roman" w:eastAsia="华文仿宋" w:cs="Times New Roman"/>
                <w:sz w:val="24"/>
                <w:szCs w:val="24"/>
              </w:rPr>
              <w:drawing>
                <wp:inline distT="0" distB="0" distL="0" distR="0">
                  <wp:extent cx="4200525" cy="1533525"/>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4200525" cy="1533525"/>
                          </a:xfrm>
                          <a:prstGeom prst="rect">
                            <a:avLst/>
                          </a:prstGeom>
                          <a:noFill/>
                          <a:ln>
                            <a:noFill/>
                          </a:ln>
                        </pic:spPr>
                      </pic:pic>
                    </a:graphicData>
                  </a:graphic>
                </wp:inline>
              </w:drawing>
            </w:r>
          </w:p>
        </w:tc>
      </w:tr>
      <w:tr w14:paraId="13B969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4" w:hRule="atLeast"/>
          <w:jc w:val="center"/>
        </w:trPr>
        <w:tc>
          <w:tcPr>
            <w:tcW w:w="1700" w:type="dxa"/>
            <w:vAlign w:val="center"/>
          </w:tcPr>
          <w:p w14:paraId="5A4BAF87">
            <w:pPr>
              <w:spacing w:line="240" w:lineRule="auto"/>
              <w:ind w:firstLine="6"/>
              <w:jc w:val="center"/>
              <w:rPr>
                <w:rFonts w:hint="default" w:ascii="Times New Roman" w:hAnsi="Times New Roman" w:eastAsia="华文仿宋" w:cs="Times New Roman"/>
                <w:spacing w:val="9"/>
                <w:sz w:val="24"/>
                <w:szCs w:val="24"/>
              </w:rPr>
            </w:pPr>
            <w:r>
              <w:rPr>
                <w:rFonts w:hint="default" w:ascii="Times New Roman" w:hAnsi="Times New Roman" w:eastAsia="华文仿宋" w:cs="Times New Roman"/>
                <w:spacing w:val="13"/>
                <w:sz w:val="24"/>
                <w:szCs w:val="24"/>
              </w:rPr>
              <w:t>2</w:t>
            </w:r>
            <w:r>
              <w:rPr>
                <w:rFonts w:hint="default" w:ascii="Times New Roman" w:hAnsi="Times New Roman" w:eastAsia="华文仿宋" w:cs="Times New Roman"/>
                <w:spacing w:val="9"/>
                <w:sz w:val="24"/>
                <w:szCs w:val="24"/>
              </w:rPr>
              <w:t>.*号楼砖</w:t>
            </w:r>
            <w:r>
              <w:rPr>
                <w:rFonts w:hint="default" w:ascii="Times New Roman" w:hAnsi="Times New Roman" w:eastAsia="华文仿宋" w:cs="Times New Roman"/>
                <w:spacing w:val="14"/>
                <w:sz w:val="24"/>
                <w:szCs w:val="24"/>
              </w:rPr>
              <w:t>体</w:t>
            </w:r>
            <w:r>
              <w:rPr>
                <w:rFonts w:hint="default" w:ascii="Times New Roman" w:hAnsi="Times New Roman" w:eastAsia="华文仿宋" w:cs="Times New Roman"/>
                <w:spacing w:val="12"/>
                <w:sz w:val="24"/>
                <w:szCs w:val="24"/>
              </w:rPr>
              <w:t>和砂浆强</w:t>
            </w:r>
            <w:r>
              <w:rPr>
                <w:rFonts w:hint="default" w:ascii="Times New Roman" w:hAnsi="Times New Roman" w:eastAsia="华文仿宋" w:cs="Times New Roman"/>
                <w:spacing w:val="14"/>
                <w:sz w:val="24"/>
                <w:szCs w:val="24"/>
              </w:rPr>
              <w:t>度</w:t>
            </w:r>
            <w:r>
              <w:rPr>
                <w:rFonts w:hint="default" w:ascii="Times New Roman" w:hAnsi="Times New Roman" w:eastAsia="华文仿宋" w:cs="Times New Roman"/>
                <w:spacing w:val="12"/>
                <w:sz w:val="24"/>
                <w:szCs w:val="24"/>
              </w:rPr>
              <w:t>不满足要</w:t>
            </w:r>
            <w:r>
              <w:rPr>
                <w:rFonts w:hint="default" w:ascii="Times New Roman" w:hAnsi="Times New Roman" w:eastAsia="华文仿宋" w:cs="Times New Roman"/>
                <w:spacing w:val="14"/>
                <w:sz w:val="24"/>
                <w:szCs w:val="24"/>
              </w:rPr>
              <w:t>求</w:t>
            </w:r>
            <w:r>
              <w:rPr>
                <w:rFonts w:hint="default" w:ascii="Times New Roman" w:hAnsi="Times New Roman" w:eastAsia="华文仿宋" w:cs="Times New Roman"/>
                <w:spacing w:val="12"/>
                <w:sz w:val="24"/>
                <w:szCs w:val="24"/>
              </w:rPr>
              <w:t>、砂浆饱</w:t>
            </w:r>
            <w:r>
              <w:rPr>
                <w:rFonts w:hint="default" w:ascii="Times New Roman" w:hAnsi="Times New Roman" w:eastAsia="华文仿宋" w:cs="Times New Roman"/>
                <w:spacing w:val="-4"/>
                <w:sz w:val="24"/>
                <w:szCs w:val="24"/>
              </w:rPr>
              <w:t>和</w:t>
            </w:r>
            <w:r>
              <w:rPr>
                <w:rFonts w:hint="default" w:ascii="Times New Roman" w:hAnsi="Times New Roman" w:eastAsia="华文仿宋" w:cs="Times New Roman"/>
                <w:spacing w:val="-3"/>
                <w:sz w:val="24"/>
                <w:szCs w:val="24"/>
              </w:rPr>
              <w:t>度不足。</w:t>
            </w:r>
          </w:p>
        </w:tc>
        <w:tc>
          <w:tcPr>
            <w:tcW w:w="7090" w:type="dxa"/>
            <w:vAlign w:val="center"/>
          </w:tcPr>
          <w:p w14:paraId="031BB508">
            <w:pPr>
              <w:spacing w:line="240" w:lineRule="auto"/>
              <w:ind w:firstLine="228"/>
              <w:jc w:val="center"/>
              <w:textAlignment w:val="center"/>
              <w:rPr>
                <w:rFonts w:hint="default" w:ascii="Times New Roman" w:hAnsi="Times New Roman" w:eastAsia="华文仿宋" w:cs="Times New Roman"/>
                <w:sz w:val="24"/>
                <w:szCs w:val="24"/>
              </w:rPr>
            </w:pPr>
            <w:r>
              <w:rPr>
                <w:rFonts w:hint="default" w:ascii="Times New Roman" w:hAnsi="Times New Roman" w:eastAsia="华文仿宋" w:cs="Times New Roman"/>
                <w:sz w:val="24"/>
                <w:szCs w:val="24"/>
              </w:rPr>
              <w:drawing>
                <wp:inline distT="0" distB="0" distL="0" distR="0">
                  <wp:extent cx="2514600" cy="239077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514600" cy="2390775"/>
                          </a:xfrm>
                          <a:prstGeom prst="rect">
                            <a:avLst/>
                          </a:prstGeom>
                          <a:noFill/>
                          <a:ln>
                            <a:noFill/>
                          </a:ln>
                        </pic:spPr>
                      </pic:pic>
                    </a:graphicData>
                  </a:graphic>
                </wp:inline>
              </w:drawing>
            </w:r>
          </w:p>
        </w:tc>
      </w:tr>
    </w:tbl>
    <w:p w14:paraId="46B4630A">
      <w:pPr>
        <w:pStyle w:val="2"/>
        <w:spacing w:line="360" w:lineRule="auto"/>
        <w:ind w:left="0" w:leftChars="0" w:firstLine="0" w:firstLineChars="0"/>
        <w:rPr>
          <w:rFonts w:hint="default" w:ascii="Times New Roman" w:hAnsi="Times New Roman" w:cs="Times New Roman"/>
          <w:sz w:val="24"/>
        </w:rPr>
      </w:pPr>
    </w:p>
    <w:p w14:paraId="64A4F164">
      <w:pPr>
        <w:spacing w:line="360" w:lineRule="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6"/>
          <w:sz w:val="32"/>
          <w:szCs w:val="32"/>
        </w:rPr>
        <w:t>指标</w:t>
      </w:r>
      <w:r>
        <w:rPr>
          <w:rFonts w:hint="default" w:ascii="Times New Roman" w:hAnsi="Times New Roman" w:eastAsia="仿宋_GB2312" w:cs="Times New Roman"/>
          <w:b/>
          <w:bCs/>
          <w:spacing w:val="4"/>
          <w:sz w:val="32"/>
          <w:szCs w:val="32"/>
        </w:rPr>
        <w:t>2</w:t>
      </w:r>
      <w:r>
        <w:rPr>
          <w:rFonts w:hint="default" w:ascii="Times New Roman" w:hAnsi="Times New Roman" w:eastAsia="仿宋_GB2312" w:cs="Times New Roman"/>
          <w:b/>
          <w:bCs/>
          <w:spacing w:val="3"/>
          <w:sz w:val="32"/>
          <w:szCs w:val="32"/>
        </w:rPr>
        <w:t>：存在燃气安全隐患的住宅数量（栋）</w:t>
      </w:r>
    </w:p>
    <w:p w14:paraId="3739E531">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2FEBC9EA">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查找既有住宅中燃气用户使用橡胶软管等安全隐患问题。</w:t>
      </w:r>
    </w:p>
    <w:p w14:paraId="11A83D75">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271ADDE4">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户内燃气橡胶软管存在变硬变脆、龟裂、明显缺损、油污严重等老化破损现象或使用不合格产品，一年内未经燃气公司查验，存在燃气泄漏风险。按照《住房和城乡建设部办公厅关于加快排查整改燃气橡胶软管安全隐患的通知》（建办城函〔2023〕132号）要求开展相关风险隐患排查。</w:t>
      </w:r>
    </w:p>
    <w:p w14:paraId="4A27DE0A">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24BEB708">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燃气公司专业技术人员入户调查取证、物业了解情况并调取相关资料等。</w:t>
      </w:r>
    </w:p>
    <w:p w14:paraId="0E935715">
      <w:pPr>
        <w:spacing w:line="360" w:lineRule="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【示范案例】</w:t>
      </w:r>
    </w:p>
    <w:p w14:paraId="5C1AC7C9">
      <w:pPr>
        <w:pStyle w:val="2"/>
        <w:rPr>
          <w:rFonts w:hint="default" w:ascii="Times New Roman" w:hAnsi="Times New Roman" w:cs="Times New Roman"/>
        </w:rPr>
      </w:pPr>
    </w:p>
    <w:p w14:paraId="4F1289C5">
      <w:pPr>
        <w:spacing w:line="360" w:lineRule="auto"/>
        <w:jc w:val="center"/>
        <w:rPr>
          <w:rFonts w:hint="default" w:ascii="Times New Roman" w:hAnsi="Times New Roman" w:eastAsia="仿宋_GB2312" w:cs="Times New Roman"/>
          <w:b/>
          <w:bCs/>
          <w:spacing w:val="1"/>
          <w:sz w:val="32"/>
          <w:szCs w:val="32"/>
        </w:rPr>
      </w:pPr>
      <w:r>
        <w:rPr>
          <w:rFonts w:hint="default" w:ascii="Times New Roman" w:hAnsi="Times New Roman" w:eastAsia="仿宋_GB2312" w:cs="Times New Roman"/>
          <w:b/>
          <w:bCs/>
          <w:spacing w:val="2"/>
          <w:sz w:val="32"/>
          <w:szCs w:val="32"/>
        </w:rPr>
        <w:t>___</w:t>
      </w:r>
      <w:r>
        <w:rPr>
          <w:rFonts w:hint="default" w:ascii="Times New Roman" w:hAnsi="Times New Roman" w:eastAsia="仿宋_GB2312" w:cs="Times New Roman"/>
          <w:b/>
          <w:bCs/>
          <w:spacing w:val="1"/>
          <w:sz w:val="32"/>
          <w:szCs w:val="32"/>
        </w:rPr>
        <w:t>__社区住房维度具体问题</w:t>
      </w:r>
    </w:p>
    <w:p w14:paraId="219D86A7">
      <w:pPr>
        <w:pStyle w:val="2"/>
        <w:rPr>
          <w:rFonts w:hint="default" w:ascii="Times New Roman" w:hAnsi="Times New Roman" w:cs="Times New Roman"/>
        </w:rPr>
      </w:pPr>
    </w:p>
    <w:tbl>
      <w:tblPr>
        <w:tblStyle w:val="57"/>
        <w:tblW w:w="864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66"/>
        <w:gridCol w:w="6182"/>
      </w:tblGrid>
      <w:tr w14:paraId="1B6DC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 w:hRule="atLeast"/>
          <w:jc w:val="center"/>
        </w:trPr>
        <w:tc>
          <w:tcPr>
            <w:tcW w:w="2466" w:type="dxa"/>
            <w:vAlign w:val="center"/>
          </w:tcPr>
          <w:p w14:paraId="23A29421">
            <w:pPr>
              <w:spacing w:line="240" w:lineRule="auto"/>
              <w:jc w:val="center"/>
              <w:rPr>
                <w:rFonts w:hint="default" w:ascii="Times New Roman" w:hAnsi="Times New Roman" w:eastAsia="华文仿宋" w:cs="Times New Roman"/>
                <w:b/>
                <w:bCs/>
                <w:sz w:val="24"/>
                <w:szCs w:val="24"/>
              </w:rPr>
            </w:pPr>
            <w:r>
              <w:rPr>
                <w:rFonts w:hint="default" w:ascii="Times New Roman" w:hAnsi="Times New Roman" w:eastAsia="华文仿宋" w:cs="Times New Roman"/>
                <w:b/>
                <w:bCs/>
                <w:spacing w:val="-12"/>
                <w:sz w:val="24"/>
                <w:szCs w:val="24"/>
              </w:rPr>
              <w:t>问</w:t>
            </w:r>
            <w:r>
              <w:rPr>
                <w:rFonts w:hint="default" w:ascii="Times New Roman" w:hAnsi="Times New Roman" w:eastAsia="华文仿宋" w:cs="Times New Roman"/>
                <w:b/>
                <w:bCs/>
                <w:spacing w:val="-11"/>
                <w:sz w:val="24"/>
                <w:szCs w:val="24"/>
              </w:rPr>
              <w:t>题</w:t>
            </w:r>
          </w:p>
        </w:tc>
        <w:tc>
          <w:tcPr>
            <w:tcW w:w="6182" w:type="dxa"/>
            <w:vAlign w:val="center"/>
          </w:tcPr>
          <w:p w14:paraId="0EAAB2A2">
            <w:pPr>
              <w:spacing w:line="240" w:lineRule="auto"/>
              <w:jc w:val="center"/>
              <w:rPr>
                <w:rFonts w:hint="default" w:ascii="Times New Roman" w:hAnsi="Times New Roman" w:eastAsia="华文仿宋" w:cs="Times New Roman"/>
                <w:b/>
                <w:bCs/>
                <w:sz w:val="24"/>
                <w:szCs w:val="24"/>
              </w:rPr>
            </w:pPr>
            <w:r>
              <w:rPr>
                <w:rFonts w:hint="default" w:ascii="Times New Roman" w:hAnsi="Times New Roman" w:eastAsia="华文仿宋" w:cs="Times New Roman"/>
                <w:b/>
                <w:bCs/>
                <w:spacing w:val="-6"/>
                <w:sz w:val="24"/>
                <w:szCs w:val="24"/>
              </w:rPr>
              <w:t>照片</w:t>
            </w:r>
          </w:p>
        </w:tc>
      </w:tr>
      <w:tr w14:paraId="6D9E2A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6" w:hRule="atLeast"/>
          <w:jc w:val="center"/>
        </w:trPr>
        <w:tc>
          <w:tcPr>
            <w:tcW w:w="2466" w:type="dxa"/>
            <w:vAlign w:val="center"/>
          </w:tcPr>
          <w:p w14:paraId="22C02285">
            <w:pPr>
              <w:spacing w:line="240" w:lineRule="auto"/>
              <w:ind w:firstLine="96"/>
              <w:jc w:val="center"/>
              <w:rPr>
                <w:rFonts w:hint="default" w:ascii="Times New Roman" w:hAnsi="Times New Roman" w:eastAsia="华文仿宋" w:cs="Times New Roman"/>
                <w:sz w:val="24"/>
                <w:szCs w:val="24"/>
              </w:rPr>
            </w:pPr>
            <w:r>
              <w:rPr>
                <w:rFonts w:hint="default" w:ascii="Times New Roman" w:hAnsi="Times New Roman" w:eastAsia="华文仿宋" w:cs="Times New Roman"/>
                <w:spacing w:val="26"/>
                <w:sz w:val="24"/>
                <w:szCs w:val="24"/>
              </w:rPr>
              <w:t>*</w:t>
            </w:r>
            <w:r>
              <w:rPr>
                <w:rFonts w:hint="default" w:ascii="Times New Roman" w:hAnsi="Times New Roman" w:eastAsia="华文仿宋" w:cs="Times New Roman"/>
                <w:spacing w:val="21"/>
                <w:sz w:val="24"/>
                <w:szCs w:val="24"/>
              </w:rPr>
              <w:t>号楼*户内燃气</w:t>
            </w:r>
            <w:r>
              <w:rPr>
                <w:rFonts w:hint="default" w:ascii="Times New Roman" w:hAnsi="Times New Roman" w:eastAsia="华文仿宋" w:cs="Times New Roman"/>
                <w:spacing w:val="-21"/>
                <w:sz w:val="24"/>
                <w:szCs w:val="24"/>
              </w:rPr>
              <w:t>橡胶软管老化破</w:t>
            </w:r>
            <w:r>
              <w:rPr>
                <w:rFonts w:hint="default" w:ascii="Times New Roman" w:hAnsi="Times New Roman" w:eastAsia="华文仿宋" w:cs="Times New Roman"/>
                <w:spacing w:val="-2"/>
                <w:sz w:val="24"/>
                <w:szCs w:val="24"/>
              </w:rPr>
              <w:t>损，</w:t>
            </w:r>
            <w:r>
              <w:rPr>
                <w:rFonts w:hint="default" w:ascii="Times New Roman" w:hAnsi="Times New Roman" w:eastAsia="华文仿宋" w:cs="Times New Roman"/>
                <w:spacing w:val="-1"/>
                <w:sz w:val="24"/>
                <w:szCs w:val="24"/>
              </w:rPr>
              <w:t>存在燃气泄漏</w:t>
            </w:r>
            <w:r>
              <w:rPr>
                <w:rFonts w:hint="default" w:ascii="Times New Roman" w:hAnsi="Times New Roman" w:eastAsia="华文仿宋" w:cs="Times New Roman"/>
                <w:spacing w:val="-14"/>
                <w:sz w:val="24"/>
                <w:szCs w:val="24"/>
              </w:rPr>
              <w:t>风</w:t>
            </w:r>
            <w:r>
              <w:rPr>
                <w:rFonts w:hint="default" w:ascii="Times New Roman" w:hAnsi="Times New Roman" w:eastAsia="华文仿宋" w:cs="Times New Roman"/>
                <w:spacing w:val="-11"/>
                <w:sz w:val="24"/>
                <w:szCs w:val="24"/>
              </w:rPr>
              <w:t>险。</w:t>
            </w:r>
          </w:p>
        </w:tc>
        <w:tc>
          <w:tcPr>
            <w:tcW w:w="6182" w:type="dxa"/>
            <w:vAlign w:val="center"/>
          </w:tcPr>
          <w:p w14:paraId="137DBD88">
            <w:pPr>
              <w:spacing w:line="240" w:lineRule="auto"/>
              <w:ind w:firstLine="488"/>
              <w:jc w:val="center"/>
              <w:textAlignment w:val="center"/>
              <w:rPr>
                <w:rFonts w:hint="default" w:ascii="Times New Roman" w:hAnsi="Times New Roman" w:eastAsia="华文仿宋" w:cs="Times New Roman"/>
                <w:sz w:val="24"/>
                <w:szCs w:val="24"/>
              </w:rPr>
            </w:pPr>
            <w:r>
              <w:rPr>
                <w:rFonts w:hint="default" w:ascii="Times New Roman" w:hAnsi="Times New Roman" w:eastAsia="华文仿宋" w:cs="Times New Roman"/>
                <w:sz w:val="24"/>
                <w:szCs w:val="24"/>
              </w:rPr>
              <w:drawing>
                <wp:inline distT="0" distB="0" distL="0" distR="0">
                  <wp:extent cx="3295650" cy="1857375"/>
                  <wp:effectExtent l="0" t="0" r="0" b="9525"/>
                  <wp:docPr id="3" name="IM 3"/>
                  <wp:cNvGraphicFramePr/>
                  <a:graphic xmlns:a="http://schemas.openxmlformats.org/drawingml/2006/main">
                    <a:graphicData uri="http://schemas.openxmlformats.org/drawingml/2006/picture">
                      <pic:pic xmlns:pic="http://schemas.openxmlformats.org/drawingml/2006/picture">
                        <pic:nvPicPr>
                          <pic:cNvPr id="3" name="IM 3"/>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3295650" cy="1857375"/>
                          </a:xfrm>
                          <a:prstGeom prst="rect">
                            <a:avLst/>
                          </a:prstGeom>
                          <a:noFill/>
                          <a:ln>
                            <a:noFill/>
                          </a:ln>
                        </pic:spPr>
                      </pic:pic>
                    </a:graphicData>
                  </a:graphic>
                </wp:inline>
              </w:drawing>
            </w:r>
          </w:p>
        </w:tc>
      </w:tr>
    </w:tbl>
    <w:p w14:paraId="1E338B36">
      <w:pPr>
        <w:spacing w:line="360" w:lineRule="auto"/>
        <w:rPr>
          <w:rFonts w:hint="default" w:ascii="Times New Roman" w:hAnsi="Times New Roman" w:eastAsia="楷体" w:cs="Times New Roman"/>
          <w:spacing w:val="6"/>
          <w:sz w:val="24"/>
          <w:szCs w:val="24"/>
        </w:rPr>
      </w:pPr>
    </w:p>
    <w:p w14:paraId="29C445FA">
      <w:pPr>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6"/>
          <w:sz w:val="32"/>
          <w:szCs w:val="32"/>
        </w:rPr>
        <w:br w:type="page"/>
      </w:r>
      <w:r>
        <w:rPr>
          <w:rFonts w:hint="default" w:ascii="Times New Roman" w:hAnsi="Times New Roman" w:eastAsia="仿宋_GB2312" w:cs="Times New Roman"/>
          <w:b/>
          <w:bCs/>
          <w:spacing w:val="6"/>
          <w:sz w:val="32"/>
          <w:szCs w:val="32"/>
        </w:rPr>
        <w:t>指标</w:t>
      </w:r>
      <w:r>
        <w:rPr>
          <w:rFonts w:hint="default" w:ascii="Times New Roman" w:hAnsi="Times New Roman" w:eastAsia="仿宋_GB2312" w:cs="Times New Roman"/>
          <w:b/>
          <w:bCs/>
          <w:spacing w:val="4"/>
          <w:sz w:val="32"/>
          <w:szCs w:val="32"/>
        </w:rPr>
        <w:t>3</w:t>
      </w:r>
      <w:r>
        <w:rPr>
          <w:rFonts w:hint="default" w:ascii="Times New Roman" w:hAnsi="Times New Roman" w:eastAsia="仿宋_GB2312" w:cs="Times New Roman"/>
          <w:b/>
          <w:bCs/>
          <w:spacing w:val="3"/>
          <w:sz w:val="32"/>
          <w:szCs w:val="32"/>
        </w:rPr>
        <w:t>：存在楼道安全隐患的住宅数量（栋）</w:t>
      </w:r>
    </w:p>
    <w:p w14:paraId="335C0534">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6863347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查找既有住宅中楼梯踏步、扶手、照明、安全护栏等设施损坏，通风井道堵塞、排风烟道堵塞或倒风串味，消防门损坏或无法关闭、消火栓无水、灭火器缺失、安全出口或疏散出口指示灯损坏，以及占用消防楼梯、楼道、管道井堆放杂物等问题。</w:t>
      </w:r>
    </w:p>
    <w:p w14:paraId="462EE6C3">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612B20E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楼梯间内楼梯踏步缺损、楼梯扶手松动损坏、照明损坏缺失、安全护栏松动损坏或缺失。</w:t>
      </w:r>
    </w:p>
    <w:p w14:paraId="60D4AF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通风井道、排风烟道等堵塞，造成通风不畅、异味串味。</w:t>
      </w:r>
    </w:p>
    <w:p w14:paraId="1502C47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3</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消防门缺失、损坏、无法关闭。</w:t>
      </w:r>
    </w:p>
    <w:p w14:paraId="662DFFC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4</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消火栓无日常维护、老化损坏。</w:t>
      </w:r>
    </w:p>
    <w:p w14:paraId="7E8C8D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5</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灭火器缺失、未设置灭火器保护设施。</w:t>
      </w:r>
    </w:p>
    <w:p w14:paraId="7F9841C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6</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消防安全出口指示灯损坏或者缺失。</w:t>
      </w:r>
    </w:p>
    <w:p w14:paraId="069D56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7</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住户占用消防楼梯、楼道、管道井等公共空间，用于堆放杂物。</w:t>
      </w:r>
    </w:p>
    <w:p w14:paraId="51B0A3DB">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【体检方法】</w:t>
      </w:r>
    </w:p>
    <w:p w14:paraId="630CEF0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物业了解情况并调取相关资料、人工查看等。</w:t>
      </w:r>
    </w:p>
    <w:p w14:paraId="7FD9A8B7">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【示范案例】</w:t>
      </w:r>
    </w:p>
    <w:p w14:paraId="3C0CAC3F">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pacing w:val="1"/>
          <w:sz w:val="32"/>
          <w:szCs w:val="32"/>
        </w:rPr>
      </w:pPr>
    </w:p>
    <w:p w14:paraId="64F5164A">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pacing w:val="1"/>
          <w:sz w:val="32"/>
          <w:szCs w:val="32"/>
        </w:rPr>
      </w:pPr>
    </w:p>
    <w:p w14:paraId="3E7F524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pacing w:val="1"/>
          <w:sz w:val="32"/>
          <w:szCs w:val="32"/>
        </w:rPr>
      </w:pPr>
      <w:r>
        <w:rPr>
          <w:rFonts w:hint="default" w:ascii="Times New Roman" w:hAnsi="Times New Roman" w:eastAsia="仿宋_GB2312" w:cs="Times New Roman"/>
          <w:b/>
          <w:bCs/>
          <w:spacing w:val="2"/>
          <w:sz w:val="32"/>
          <w:szCs w:val="32"/>
        </w:rPr>
        <w:t>___</w:t>
      </w:r>
      <w:r>
        <w:rPr>
          <w:rFonts w:hint="default" w:ascii="Times New Roman" w:hAnsi="Times New Roman" w:eastAsia="仿宋_GB2312" w:cs="Times New Roman"/>
          <w:b/>
          <w:bCs/>
          <w:spacing w:val="1"/>
          <w:sz w:val="32"/>
          <w:szCs w:val="32"/>
        </w:rPr>
        <w:t>__社区住房维度具体问题</w:t>
      </w:r>
    </w:p>
    <w:p w14:paraId="1494E960">
      <w:pPr>
        <w:pStyle w:val="2"/>
        <w:rPr>
          <w:rFonts w:hint="default" w:ascii="Times New Roman" w:hAnsi="Times New Roman" w:cs="Times New Roman"/>
        </w:rPr>
      </w:pPr>
    </w:p>
    <w:tbl>
      <w:tblPr>
        <w:tblStyle w:val="57"/>
        <w:tblW w:w="695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81"/>
        <w:gridCol w:w="4078"/>
      </w:tblGrid>
      <w:tr w14:paraId="7FD54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 w:hRule="atLeast"/>
          <w:jc w:val="center"/>
        </w:trPr>
        <w:tc>
          <w:tcPr>
            <w:tcW w:w="2881" w:type="dxa"/>
            <w:vAlign w:val="center"/>
          </w:tcPr>
          <w:p w14:paraId="398CFC66">
            <w:pPr>
              <w:spacing w:line="240" w:lineRule="auto"/>
              <w:jc w:val="center"/>
              <w:rPr>
                <w:rFonts w:hint="default" w:ascii="Times New Roman" w:hAnsi="Times New Roman" w:eastAsia="华文仿宋" w:cs="Times New Roman"/>
                <w:b/>
                <w:bCs/>
                <w:sz w:val="24"/>
                <w:szCs w:val="24"/>
              </w:rPr>
            </w:pPr>
            <w:r>
              <w:rPr>
                <w:rFonts w:hint="default" w:ascii="Times New Roman" w:hAnsi="Times New Roman" w:eastAsia="华文仿宋" w:cs="Times New Roman"/>
                <w:b/>
                <w:bCs/>
                <w:spacing w:val="-12"/>
                <w:sz w:val="24"/>
                <w:szCs w:val="24"/>
              </w:rPr>
              <w:t>问</w:t>
            </w:r>
            <w:r>
              <w:rPr>
                <w:rFonts w:hint="default" w:ascii="Times New Roman" w:hAnsi="Times New Roman" w:eastAsia="华文仿宋" w:cs="Times New Roman"/>
                <w:b/>
                <w:bCs/>
                <w:spacing w:val="-11"/>
                <w:sz w:val="24"/>
                <w:szCs w:val="24"/>
              </w:rPr>
              <w:t>题</w:t>
            </w:r>
          </w:p>
        </w:tc>
        <w:tc>
          <w:tcPr>
            <w:tcW w:w="4078" w:type="dxa"/>
            <w:vAlign w:val="center"/>
          </w:tcPr>
          <w:p w14:paraId="045C7E4B">
            <w:pPr>
              <w:spacing w:line="240" w:lineRule="auto"/>
              <w:jc w:val="center"/>
              <w:rPr>
                <w:rFonts w:hint="default" w:ascii="Times New Roman" w:hAnsi="Times New Roman" w:eastAsia="华文仿宋" w:cs="Times New Roman"/>
                <w:b/>
                <w:bCs/>
                <w:sz w:val="24"/>
                <w:szCs w:val="24"/>
              </w:rPr>
            </w:pPr>
            <w:r>
              <w:rPr>
                <w:rFonts w:hint="default" w:ascii="Times New Roman" w:hAnsi="Times New Roman" w:eastAsia="华文仿宋" w:cs="Times New Roman"/>
                <w:b/>
                <w:bCs/>
                <w:spacing w:val="-6"/>
                <w:sz w:val="24"/>
                <w:szCs w:val="24"/>
              </w:rPr>
              <w:t>照片</w:t>
            </w:r>
          </w:p>
        </w:tc>
      </w:tr>
      <w:tr w14:paraId="112723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3" w:hRule="atLeast"/>
          <w:jc w:val="center"/>
        </w:trPr>
        <w:tc>
          <w:tcPr>
            <w:tcW w:w="2881" w:type="dxa"/>
            <w:vAlign w:val="center"/>
          </w:tcPr>
          <w:p w14:paraId="6A3369A8">
            <w:pPr>
              <w:spacing w:line="240" w:lineRule="auto"/>
              <w:ind w:firstLine="12"/>
              <w:jc w:val="center"/>
              <w:rPr>
                <w:rFonts w:hint="default" w:ascii="Times New Roman" w:hAnsi="Times New Roman" w:eastAsia="华文仿宋" w:cs="Times New Roman"/>
                <w:sz w:val="24"/>
                <w:szCs w:val="24"/>
              </w:rPr>
            </w:pPr>
            <w:r>
              <w:rPr>
                <w:rFonts w:hint="default" w:ascii="Times New Roman" w:hAnsi="Times New Roman" w:eastAsia="华文仿宋" w:cs="Times New Roman"/>
                <w:spacing w:val="1"/>
                <w:sz w:val="24"/>
                <w:szCs w:val="24"/>
              </w:rPr>
              <w:t>1.*号楼*层违规占</w:t>
            </w:r>
            <w:r>
              <w:rPr>
                <w:rFonts w:hint="default" w:ascii="Times New Roman" w:hAnsi="Times New Roman" w:eastAsia="华文仿宋" w:cs="Times New Roman"/>
                <w:sz w:val="24"/>
                <w:szCs w:val="24"/>
              </w:rPr>
              <w:t>用或改</w:t>
            </w:r>
            <w:r>
              <w:rPr>
                <w:rFonts w:hint="default" w:ascii="Times New Roman" w:hAnsi="Times New Roman" w:eastAsia="华文仿宋" w:cs="Times New Roman"/>
                <w:spacing w:val="-6"/>
                <w:sz w:val="24"/>
                <w:szCs w:val="24"/>
              </w:rPr>
              <w:t>造人行</w:t>
            </w:r>
            <w:r>
              <w:rPr>
                <w:rFonts w:hint="default" w:ascii="Times New Roman" w:hAnsi="Times New Roman" w:eastAsia="华文仿宋" w:cs="Times New Roman"/>
                <w:spacing w:val="-3"/>
                <w:sz w:val="24"/>
                <w:szCs w:val="24"/>
              </w:rPr>
              <w:t>走道、公共区域。</w:t>
            </w:r>
          </w:p>
        </w:tc>
        <w:tc>
          <w:tcPr>
            <w:tcW w:w="4078" w:type="dxa"/>
            <w:vAlign w:val="center"/>
          </w:tcPr>
          <w:p w14:paraId="4500A4D7">
            <w:pPr>
              <w:spacing w:line="240" w:lineRule="auto"/>
              <w:ind w:firstLine="794"/>
              <w:jc w:val="both"/>
              <w:textAlignment w:val="center"/>
              <w:rPr>
                <w:rFonts w:hint="default" w:ascii="Times New Roman" w:hAnsi="Times New Roman" w:eastAsia="华文仿宋" w:cs="Times New Roman"/>
                <w:sz w:val="24"/>
                <w:szCs w:val="24"/>
              </w:rPr>
            </w:pPr>
            <w:r>
              <w:rPr>
                <w:rFonts w:hint="default" w:ascii="Times New Roman" w:hAnsi="Times New Roman" w:eastAsia="华文仿宋" w:cs="Times New Roman"/>
                <w:sz w:val="24"/>
                <w:szCs w:val="24"/>
              </w:rPr>
              <w:drawing>
                <wp:inline distT="0" distB="0" distL="0" distR="0">
                  <wp:extent cx="1797685" cy="1724025"/>
                  <wp:effectExtent l="0" t="0" r="12065" b="9525"/>
                  <wp:docPr id="4" name="IM 4"/>
                  <wp:cNvGraphicFramePr/>
                  <a:graphic xmlns:a="http://schemas.openxmlformats.org/drawingml/2006/main">
                    <a:graphicData uri="http://schemas.openxmlformats.org/drawingml/2006/picture">
                      <pic:pic xmlns:pic="http://schemas.openxmlformats.org/drawingml/2006/picture">
                        <pic:nvPicPr>
                          <pic:cNvPr id="4" name="IM 4"/>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1797685" cy="1724025"/>
                          </a:xfrm>
                          <a:prstGeom prst="rect">
                            <a:avLst/>
                          </a:prstGeom>
                          <a:noFill/>
                          <a:ln>
                            <a:noFill/>
                          </a:ln>
                        </pic:spPr>
                      </pic:pic>
                    </a:graphicData>
                  </a:graphic>
                </wp:inline>
              </w:drawing>
            </w:r>
          </w:p>
        </w:tc>
      </w:tr>
      <w:tr w14:paraId="70D8B1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7" w:hRule="atLeast"/>
          <w:jc w:val="center"/>
        </w:trPr>
        <w:tc>
          <w:tcPr>
            <w:tcW w:w="2881" w:type="dxa"/>
            <w:vAlign w:val="center"/>
          </w:tcPr>
          <w:p w14:paraId="7115C8D3">
            <w:pPr>
              <w:spacing w:line="240" w:lineRule="auto"/>
              <w:ind w:hanging="2"/>
              <w:jc w:val="center"/>
              <w:rPr>
                <w:rFonts w:hint="default" w:ascii="Times New Roman" w:hAnsi="Times New Roman" w:eastAsia="华文仿宋" w:cs="Times New Roman"/>
                <w:sz w:val="24"/>
                <w:szCs w:val="24"/>
              </w:rPr>
            </w:pPr>
            <w:r>
              <w:rPr>
                <w:rFonts w:hint="default" w:ascii="Times New Roman" w:hAnsi="Times New Roman" w:eastAsia="华文仿宋" w:cs="Times New Roman"/>
                <w:spacing w:val="-1"/>
                <w:sz w:val="24"/>
                <w:szCs w:val="24"/>
              </w:rPr>
              <w:t>2.*号楼*层*户通风井道、</w:t>
            </w:r>
            <w:r>
              <w:rPr>
                <w:rFonts w:hint="default" w:ascii="Times New Roman" w:hAnsi="Times New Roman" w:eastAsia="华文仿宋" w:cs="Times New Roman"/>
                <w:spacing w:val="15"/>
                <w:sz w:val="24"/>
                <w:szCs w:val="24"/>
              </w:rPr>
              <w:t>排风烟道等公共管道井损</w:t>
            </w:r>
            <w:r>
              <w:rPr>
                <w:rFonts w:hint="default" w:ascii="Times New Roman" w:hAnsi="Times New Roman" w:eastAsia="华文仿宋" w:cs="Times New Roman"/>
                <w:spacing w:val="-7"/>
                <w:sz w:val="24"/>
                <w:szCs w:val="24"/>
              </w:rPr>
              <w:t>坏</w:t>
            </w:r>
            <w:r>
              <w:rPr>
                <w:rFonts w:hint="default" w:ascii="Times New Roman" w:hAnsi="Times New Roman" w:eastAsia="华文仿宋" w:cs="Times New Roman"/>
                <w:spacing w:val="-5"/>
                <w:sz w:val="24"/>
                <w:szCs w:val="24"/>
              </w:rPr>
              <w:t>或被占用。</w:t>
            </w:r>
          </w:p>
        </w:tc>
        <w:tc>
          <w:tcPr>
            <w:tcW w:w="4078" w:type="dxa"/>
            <w:vAlign w:val="center"/>
          </w:tcPr>
          <w:p w14:paraId="663621A6">
            <w:pPr>
              <w:spacing w:line="240" w:lineRule="auto"/>
              <w:ind w:firstLine="855"/>
              <w:jc w:val="both"/>
              <w:textAlignment w:val="center"/>
              <w:rPr>
                <w:rFonts w:hint="default" w:ascii="Times New Roman" w:hAnsi="Times New Roman" w:eastAsia="华文仿宋" w:cs="Times New Roman"/>
                <w:sz w:val="24"/>
                <w:szCs w:val="24"/>
              </w:rPr>
            </w:pPr>
            <w:r>
              <w:rPr>
                <w:rFonts w:hint="default" w:ascii="Times New Roman" w:hAnsi="Times New Roman" w:eastAsia="华文仿宋" w:cs="Times New Roman"/>
                <w:sz w:val="24"/>
                <w:szCs w:val="24"/>
              </w:rPr>
              <w:drawing>
                <wp:inline distT="0" distB="0" distL="0" distR="0">
                  <wp:extent cx="1657350" cy="1806575"/>
                  <wp:effectExtent l="0" t="0" r="0" b="3175"/>
                  <wp:docPr id="5" name="IM 5"/>
                  <wp:cNvGraphicFramePr/>
                  <a:graphic xmlns:a="http://schemas.openxmlformats.org/drawingml/2006/main">
                    <a:graphicData uri="http://schemas.openxmlformats.org/drawingml/2006/picture">
                      <pic:pic xmlns:pic="http://schemas.openxmlformats.org/drawingml/2006/picture">
                        <pic:nvPicPr>
                          <pic:cNvPr id="5" name="IM 5"/>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1657350" cy="1806575"/>
                          </a:xfrm>
                          <a:prstGeom prst="rect">
                            <a:avLst/>
                          </a:prstGeom>
                          <a:noFill/>
                          <a:ln>
                            <a:noFill/>
                          </a:ln>
                        </pic:spPr>
                      </pic:pic>
                    </a:graphicData>
                  </a:graphic>
                </wp:inline>
              </w:drawing>
            </w:r>
          </w:p>
        </w:tc>
      </w:tr>
      <w:tr w14:paraId="7AF722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2" w:hRule="atLeast"/>
          <w:jc w:val="center"/>
        </w:trPr>
        <w:tc>
          <w:tcPr>
            <w:tcW w:w="2881" w:type="dxa"/>
            <w:vAlign w:val="center"/>
          </w:tcPr>
          <w:p w14:paraId="05AC38B0">
            <w:pPr>
              <w:spacing w:line="240" w:lineRule="auto"/>
              <w:ind w:hanging="7"/>
              <w:jc w:val="center"/>
              <w:rPr>
                <w:rFonts w:hint="default" w:ascii="Times New Roman" w:hAnsi="Times New Roman" w:eastAsia="华文仿宋" w:cs="Times New Roman"/>
                <w:sz w:val="24"/>
                <w:szCs w:val="24"/>
              </w:rPr>
            </w:pPr>
            <w:r>
              <w:rPr>
                <w:rFonts w:hint="default" w:ascii="Times New Roman" w:hAnsi="Times New Roman" w:eastAsia="华文仿宋" w:cs="Times New Roman"/>
                <w:spacing w:val="4"/>
                <w:sz w:val="24"/>
                <w:szCs w:val="24"/>
              </w:rPr>
              <w:t>3</w:t>
            </w:r>
            <w:r>
              <w:rPr>
                <w:rFonts w:hint="default" w:ascii="Times New Roman" w:hAnsi="Times New Roman" w:eastAsia="华文仿宋" w:cs="Times New Roman"/>
                <w:spacing w:val="2"/>
                <w:sz w:val="24"/>
                <w:szCs w:val="24"/>
              </w:rPr>
              <w:t>.*号楼*层消防楼梯破损</w:t>
            </w:r>
            <w:r>
              <w:rPr>
                <w:rFonts w:hint="default" w:ascii="Times New Roman" w:hAnsi="Times New Roman" w:eastAsia="华文仿宋" w:cs="Times New Roman"/>
                <w:spacing w:val="-6"/>
                <w:sz w:val="24"/>
                <w:szCs w:val="24"/>
              </w:rPr>
              <w:t>或</w:t>
            </w:r>
            <w:r>
              <w:rPr>
                <w:rFonts w:hint="default" w:ascii="Times New Roman" w:hAnsi="Times New Roman" w:eastAsia="华文仿宋" w:cs="Times New Roman"/>
                <w:spacing w:val="-4"/>
                <w:sz w:val="24"/>
                <w:szCs w:val="24"/>
              </w:rPr>
              <w:t>被占用，影响通行。</w:t>
            </w:r>
          </w:p>
        </w:tc>
        <w:tc>
          <w:tcPr>
            <w:tcW w:w="4078" w:type="dxa"/>
            <w:vAlign w:val="center"/>
          </w:tcPr>
          <w:p w14:paraId="5C876878">
            <w:pPr>
              <w:spacing w:line="240" w:lineRule="auto"/>
              <w:ind w:firstLine="814"/>
              <w:jc w:val="both"/>
              <w:textAlignment w:val="center"/>
              <w:rPr>
                <w:rFonts w:hint="default" w:ascii="Times New Roman" w:hAnsi="Times New Roman" w:eastAsia="华文仿宋" w:cs="Times New Roman"/>
                <w:sz w:val="24"/>
                <w:szCs w:val="24"/>
              </w:rPr>
            </w:pPr>
            <w:r>
              <w:rPr>
                <w:rFonts w:hint="default" w:ascii="Times New Roman" w:hAnsi="Times New Roman" w:eastAsia="华文仿宋" w:cs="Times New Roman"/>
                <w:sz w:val="24"/>
                <w:szCs w:val="24"/>
              </w:rPr>
              <w:drawing>
                <wp:inline distT="0" distB="0" distL="0" distR="0">
                  <wp:extent cx="1579880" cy="1889125"/>
                  <wp:effectExtent l="0" t="0" r="1270" b="15875"/>
                  <wp:docPr id="6" name="IM 6"/>
                  <wp:cNvGraphicFramePr/>
                  <a:graphic xmlns:a="http://schemas.openxmlformats.org/drawingml/2006/main">
                    <a:graphicData uri="http://schemas.openxmlformats.org/drawingml/2006/picture">
                      <pic:pic xmlns:pic="http://schemas.openxmlformats.org/drawingml/2006/picture">
                        <pic:nvPicPr>
                          <pic:cNvPr id="6" name="IM 6"/>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1579880" cy="1889125"/>
                          </a:xfrm>
                          <a:prstGeom prst="rect">
                            <a:avLst/>
                          </a:prstGeom>
                          <a:noFill/>
                          <a:ln>
                            <a:noFill/>
                          </a:ln>
                        </pic:spPr>
                      </pic:pic>
                    </a:graphicData>
                  </a:graphic>
                </wp:inline>
              </w:drawing>
            </w:r>
          </w:p>
        </w:tc>
      </w:tr>
      <w:tr w14:paraId="4B7DF9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8" w:hRule="atLeast"/>
          <w:jc w:val="center"/>
        </w:trPr>
        <w:tc>
          <w:tcPr>
            <w:tcW w:w="2881" w:type="dxa"/>
            <w:vAlign w:val="center"/>
          </w:tcPr>
          <w:p w14:paraId="56F71848">
            <w:pPr>
              <w:spacing w:line="240" w:lineRule="auto"/>
              <w:ind w:hanging="9"/>
              <w:jc w:val="center"/>
              <w:rPr>
                <w:rFonts w:hint="default" w:ascii="Times New Roman" w:hAnsi="Times New Roman" w:eastAsia="华文仿宋" w:cs="Times New Roman"/>
                <w:sz w:val="24"/>
                <w:szCs w:val="24"/>
              </w:rPr>
            </w:pPr>
            <w:r>
              <w:rPr>
                <w:rFonts w:hint="default" w:ascii="Times New Roman" w:hAnsi="Times New Roman" w:eastAsia="华文仿宋" w:cs="Times New Roman"/>
                <w:spacing w:val="-13"/>
                <w:sz w:val="24"/>
                <w:szCs w:val="24"/>
              </w:rPr>
              <w:t>4</w:t>
            </w:r>
            <w:r>
              <w:rPr>
                <w:rFonts w:hint="default" w:ascii="Times New Roman" w:hAnsi="Times New Roman" w:eastAsia="华文仿宋" w:cs="Times New Roman"/>
                <w:spacing w:val="-9"/>
                <w:sz w:val="24"/>
                <w:szCs w:val="24"/>
              </w:rPr>
              <w:t>.*号楼*层消防门缺失、</w:t>
            </w:r>
            <w:r>
              <w:rPr>
                <w:rFonts w:hint="default" w:ascii="Times New Roman" w:hAnsi="Times New Roman" w:eastAsia="华文仿宋" w:cs="Times New Roman"/>
                <w:spacing w:val="-13"/>
                <w:sz w:val="24"/>
                <w:szCs w:val="24"/>
              </w:rPr>
              <w:t>损</w:t>
            </w:r>
            <w:r>
              <w:rPr>
                <w:rFonts w:hint="default" w:ascii="Times New Roman" w:hAnsi="Times New Roman" w:eastAsia="华文仿宋" w:cs="Times New Roman"/>
                <w:spacing w:val="-9"/>
                <w:sz w:val="24"/>
                <w:szCs w:val="24"/>
              </w:rPr>
              <w:t>坏、无法关闭，不利于火</w:t>
            </w:r>
            <w:r>
              <w:rPr>
                <w:rFonts w:hint="default" w:ascii="Times New Roman" w:hAnsi="Times New Roman" w:eastAsia="华文仿宋" w:cs="Times New Roman"/>
                <w:spacing w:val="22"/>
                <w:sz w:val="24"/>
                <w:szCs w:val="24"/>
              </w:rPr>
              <w:t>灾</w:t>
            </w:r>
            <w:r>
              <w:rPr>
                <w:rFonts w:hint="default" w:ascii="Times New Roman" w:hAnsi="Times New Roman" w:eastAsia="华文仿宋" w:cs="Times New Roman"/>
                <w:spacing w:val="14"/>
                <w:sz w:val="24"/>
                <w:szCs w:val="24"/>
              </w:rPr>
              <w:t>时阻隔火势和人员的安</w:t>
            </w:r>
            <w:r>
              <w:rPr>
                <w:rFonts w:hint="default" w:ascii="Times New Roman" w:hAnsi="Times New Roman" w:eastAsia="华文仿宋" w:cs="Times New Roman"/>
                <w:spacing w:val="-10"/>
                <w:sz w:val="24"/>
                <w:szCs w:val="24"/>
              </w:rPr>
              <w:t>全疏散。</w:t>
            </w:r>
          </w:p>
        </w:tc>
        <w:tc>
          <w:tcPr>
            <w:tcW w:w="4078" w:type="dxa"/>
            <w:vAlign w:val="center"/>
          </w:tcPr>
          <w:p w14:paraId="35DE226D">
            <w:pPr>
              <w:spacing w:line="240" w:lineRule="auto"/>
              <w:ind w:firstLine="810"/>
              <w:jc w:val="both"/>
              <w:textAlignment w:val="center"/>
              <w:rPr>
                <w:rFonts w:hint="default" w:ascii="Times New Roman" w:hAnsi="Times New Roman" w:eastAsia="华文仿宋" w:cs="Times New Roman"/>
                <w:sz w:val="24"/>
                <w:szCs w:val="24"/>
              </w:rPr>
            </w:pPr>
            <w:r>
              <w:rPr>
                <w:rFonts w:hint="default" w:ascii="Times New Roman" w:hAnsi="Times New Roman" w:eastAsia="华文仿宋" w:cs="Times New Roman"/>
                <w:sz w:val="24"/>
                <w:szCs w:val="24"/>
              </w:rPr>
              <w:drawing>
                <wp:inline distT="0" distB="0" distL="0" distR="0">
                  <wp:extent cx="1604010" cy="1899285"/>
                  <wp:effectExtent l="0" t="0" r="15240" b="5715"/>
                  <wp:docPr id="7" name="IM 7"/>
                  <wp:cNvGraphicFramePr/>
                  <a:graphic xmlns:a="http://schemas.openxmlformats.org/drawingml/2006/main">
                    <a:graphicData uri="http://schemas.openxmlformats.org/drawingml/2006/picture">
                      <pic:pic xmlns:pic="http://schemas.openxmlformats.org/drawingml/2006/picture">
                        <pic:nvPicPr>
                          <pic:cNvPr id="7" name="IM 7"/>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1604010" cy="1899285"/>
                          </a:xfrm>
                          <a:prstGeom prst="rect">
                            <a:avLst/>
                          </a:prstGeom>
                          <a:noFill/>
                          <a:ln>
                            <a:noFill/>
                          </a:ln>
                        </pic:spPr>
                      </pic:pic>
                    </a:graphicData>
                  </a:graphic>
                </wp:inline>
              </w:drawing>
            </w:r>
          </w:p>
        </w:tc>
      </w:tr>
      <w:tr w14:paraId="068EBF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8" w:hRule="atLeast"/>
          <w:jc w:val="center"/>
        </w:trPr>
        <w:tc>
          <w:tcPr>
            <w:tcW w:w="2881" w:type="dxa"/>
            <w:vAlign w:val="center"/>
          </w:tcPr>
          <w:p w14:paraId="345410F7">
            <w:pPr>
              <w:spacing w:line="240" w:lineRule="auto"/>
              <w:ind w:hanging="4"/>
              <w:jc w:val="center"/>
              <w:rPr>
                <w:rFonts w:hint="default" w:ascii="Times New Roman" w:hAnsi="Times New Roman" w:eastAsia="华文仿宋" w:cs="Times New Roman"/>
                <w:sz w:val="24"/>
                <w:szCs w:val="24"/>
              </w:rPr>
            </w:pPr>
            <w:r>
              <w:rPr>
                <w:rFonts w:hint="default" w:ascii="Times New Roman" w:hAnsi="Times New Roman" w:eastAsia="华文仿宋" w:cs="Times New Roman"/>
                <w:spacing w:val="-14"/>
                <w:sz w:val="24"/>
                <w:szCs w:val="24"/>
              </w:rPr>
              <w:t>5</w:t>
            </w:r>
            <w:r>
              <w:rPr>
                <w:rFonts w:hint="default" w:ascii="Times New Roman" w:hAnsi="Times New Roman" w:eastAsia="华文仿宋" w:cs="Times New Roman"/>
                <w:spacing w:val="-12"/>
                <w:sz w:val="24"/>
                <w:szCs w:val="24"/>
              </w:rPr>
              <w:t>．</w:t>
            </w:r>
            <w:r>
              <w:rPr>
                <w:rFonts w:hint="default" w:ascii="Times New Roman" w:hAnsi="Times New Roman" w:eastAsia="华文仿宋" w:cs="Times New Roman"/>
                <w:spacing w:val="-7"/>
                <w:sz w:val="24"/>
                <w:szCs w:val="24"/>
              </w:rPr>
              <w:t>*号楼*层消火栓无日常</w:t>
            </w:r>
            <w:r>
              <w:rPr>
                <w:rFonts w:hint="default" w:ascii="Times New Roman" w:hAnsi="Times New Roman" w:eastAsia="华文仿宋" w:cs="Times New Roman"/>
                <w:spacing w:val="-15"/>
                <w:sz w:val="24"/>
                <w:szCs w:val="24"/>
              </w:rPr>
              <w:t>维</w:t>
            </w:r>
            <w:r>
              <w:rPr>
                <w:rFonts w:hint="default" w:ascii="Times New Roman" w:hAnsi="Times New Roman" w:eastAsia="华文仿宋" w:cs="Times New Roman"/>
                <w:spacing w:val="-9"/>
                <w:sz w:val="24"/>
                <w:szCs w:val="24"/>
              </w:rPr>
              <w:t>护、老化损坏、无法正常</w:t>
            </w:r>
            <w:r>
              <w:rPr>
                <w:rFonts w:hint="default" w:ascii="Times New Roman" w:hAnsi="Times New Roman" w:eastAsia="华文仿宋" w:cs="Times New Roman"/>
                <w:spacing w:val="-13"/>
                <w:sz w:val="24"/>
                <w:szCs w:val="24"/>
              </w:rPr>
              <w:t>使</w:t>
            </w:r>
            <w:r>
              <w:rPr>
                <w:rFonts w:hint="default" w:ascii="Times New Roman" w:hAnsi="Times New Roman" w:eastAsia="华文仿宋" w:cs="Times New Roman"/>
                <w:spacing w:val="-12"/>
                <w:sz w:val="24"/>
                <w:szCs w:val="24"/>
              </w:rPr>
              <w:t>用。</w:t>
            </w:r>
          </w:p>
        </w:tc>
        <w:tc>
          <w:tcPr>
            <w:tcW w:w="4078" w:type="dxa"/>
            <w:vAlign w:val="center"/>
          </w:tcPr>
          <w:p w14:paraId="5DA03EEE">
            <w:pPr>
              <w:spacing w:line="240" w:lineRule="auto"/>
              <w:ind w:firstLine="810"/>
              <w:jc w:val="both"/>
              <w:textAlignment w:val="center"/>
              <w:rPr>
                <w:rFonts w:hint="default" w:ascii="Times New Roman" w:hAnsi="Times New Roman" w:eastAsia="华文仿宋" w:cs="Times New Roman"/>
                <w:sz w:val="24"/>
                <w:szCs w:val="24"/>
              </w:rPr>
            </w:pPr>
            <w:r>
              <w:rPr>
                <w:rFonts w:hint="default" w:ascii="Times New Roman" w:hAnsi="Times New Roman" w:eastAsia="华文仿宋" w:cs="Times New Roman"/>
                <w:sz w:val="24"/>
                <w:szCs w:val="24"/>
              </w:rPr>
              <w:drawing>
                <wp:inline distT="0" distB="0" distL="0" distR="0">
                  <wp:extent cx="1524000" cy="1941195"/>
                  <wp:effectExtent l="0" t="0" r="0" b="1905"/>
                  <wp:docPr id="8" name="IM 8"/>
                  <wp:cNvGraphicFramePr/>
                  <a:graphic xmlns:a="http://schemas.openxmlformats.org/drawingml/2006/main">
                    <a:graphicData uri="http://schemas.openxmlformats.org/drawingml/2006/picture">
                      <pic:pic xmlns:pic="http://schemas.openxmlformats.org/drawingml/2006/picture">
                        <pic:nvPicPr>
                          <pic:cNvPr id="8" name="IM 8"/>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524000" cy="1941195"/>
                          </a:xfrm>
                          <a:prstGeom prst="rect">
                            <a:avLst/>
                          </a:prstGeom>
                          <a:noFill/>
                          <a:ln>
                            <a:noFill/>
                          </a:ln>
                        </pic:spPr>
                      </pic:pic>
                    </a:graphicData>
                  </a:graphic>
                </wp:inline>
              </w:drawing>
            </w:r>
          </w:p>
        </w:tc>
      </w:tr>
      <w:tr w14:paraId="3C3286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1" w:hRule="atLeast"/>
          <w:jc w:val="center"/>
        </w:trPr>
        <w:tc>
          <w:tcPr>
            <w:tcW w:w="2881" w:type="dxa"/>
            <w:vAlign w:val="center"/>
          </w:tcPr>
          <w:p w14:paraId="0EAC85BC">
            <w:pPr>
              <w:spacing w:line="240" w:lineRule="auto"/>
              <w:ind w:hanging="8"/>
              <w:jc w:val="center"/>
              <w:rPr>
                <w:rFonts w:hint="default" w:ascii="Times New Roman" w:hAnsi="Times New Roman" w:eastAsia="华文仿宋" w:cs="Times New Roman"/>
                <w:sz w:val="24"/>
                <w:szCs w:val="24"/>
              </w:rPr>
            </w:pPr>
            <w:r>
              <w:rPr>
                <w:rFonts w:hint="default" w:ascii="Times New Roman" w:hAnsi="Times New Roman" w:eastAsia="华文仿宋" w:cs="Times New Roman"/>
                <w:spacing w:val="-16"/>
                <w:sz w:val="24"/>
                <w:szCs w:val="24"/>
              </w:rPr>
              <w:t>6</w:t>
            </w:r>
            <w:r>
              <w:rPr>
                <w:rFonts w:hint="default" w:ascii="Times New Roman" w:hAnsi="Times New Roman" w:eastAsia="华文仿宋" w:cs="Times New Roman"/>
                <w:spacing w:val="-9"/>
                <w:sz w:val="24"/>
                <w:szCs w:val="24"/>
              </w:rPr>
              <w:t>.*号楼*层灭火器缺失、</w:t>
            </w:r>
            <w:r>
              <w:rPr>
                <w:rFonts w:hint="default" w:ascii="Times New Roman" w:hAnsi="Times New Roman" w:eastAsia="华文仿宋" w:cs="Times New Roman"/>
                <w:spacing w:val="-13"/>
                <w:sz w:val="24"/>
                <w:szCs w:val="24"/>
              </w:rPr>
              <w:t>未</w:t>
            </w:r>
            <w:r>
              <w:rPr>
                <w:rFonts w:hint="default" w:ascii="Times New Roman" w:hAnsi="Times New Roman" w:eastAsia="华文仿宋" w:cs="Times New Roman"/>
                <w:spacing w:val="-10"/>
                <w:sz w:val="24"/>
                <w:szCs w:val="24"/>
              </w:rPr>
              <w:t>设置灭火器保护设施，部</w:t>
            </w:r>
            <w:r>
              <w:rPr>
                <w:rFonts w:hint="default" w:ascii="Times New Roman" w:hAnsi="Times New Roman" w:eastAsia="华文仿宋" w:cs="Times New Roman"/>
                <w:spacing w:val="-4"/>
                <w:sz w:val="24"/>
                <w:szCs w:val="24"/>
              </w:rPr>
              <w:t>分</w:t>
            </w:r>
            <w:r>
              <w:rPr>
                <w:rFonts w:hint="default" w:ascii="Times New Roman" w:hAnsi="Times New Roman" w:eastAsia="华文仿宋" w:cs="Times New Roman"/>
                <w:spacing w:val="-2"/>
                <w:sz w:val="24"/>
                <w:szCs w:val="24"/>
              </w:rPr>
              <w:t>楼层灭火器缺失。</w:t>
            </w:r>
          </w:p>
        </w:tc>
        <w:tc>
          <w:tcPr>
            <w:tcW w:w="4078" w:type="dxa"/>
            <w:vAlign w:val="center"/>
          </w:tcPr>
          <w:p w14:paraId="339A77DC">
            <w:pPr>
              <w:spacing w:line="240" w:lineRule="auto"/>
              <w:ind w:firstLine="780"/>
              <w:jc w:val="both"/>
              <w:textAlignment w:val="center"/>
              <w:rPr>
                <w:rFonts w:hint="default" w:ascii="Times New Roman" w:hAnsi="Times New Roman" w:eastAsia="华文仿宋" w:cs="Times New Roman"/>
                <w:sz w:val="24"/>
                <w:szCs w:val="24"/>
              </w:rPr>
            </w:pPr>
            <w:r>
              <w:rPr>
                <w:rFonts w:hint="default" w:ascii="Times New Roman" w:hAnsi="Times New Roman" w:eastAsia="华文仿宋" w:cs="Times New Roman"/>
                <w:sz w:val="24"/>
                <w:szCs w:val="24"/>
              </w:rPr>
              <w:drawing>
                <wp:inline distT="0" distB="0" distL="0" distR="0">
                  <wp:extent cx="1618615" cy="1554480"/>
                  <wp:effectExtent l="0" t="0" r="635" b="7620"/>
                  <wp:docPr id="9" name="IM 9"/>
                  <wp:cNvGraphicFramePr/>
                  <a:graphic xmlns:a="http://schemas.openxmlformats.org/drawingml/2006/main">
                    <a:graphicData uri="http://schemas.openxmlformats.org/drawingml/2006/picture">
                      <pic:pic xmlns:pic="http://schemas.openxmlformats.org/drawingml/2006/picture">
                        <pic:nvPicPr>
                          <pic:cNvPr id="9" name="IM 9"/>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618615" cy="1554480"/>
                          </a:xfrm>
                          <a:prstGeom prst="rect">
                            <a:avLst/>
                          </a:prstGeom>
                          <a:noFill/>
                          <a:ln>
                            <a:noFill/>
                          </a:ln>
                        </pic:spPr>
                      </pic:pic>
                    </a:graphicData>
                  </a:graphic>
                </wp:inline>
              </w:drawing>
            </w:r>
          </w:p>
        </w:tc>
      </w:tr>
      <w:tr w14:paraId="01F1B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3" w:hRule="atLeast"/>
          <w:jc w:val="center"/>
        </w:trPr>
        <w:tc>
          <w:tcPr>
            <w:tcW w:w="2881" w:type="dxa"/>
            <w:vAlign w:val="center"/>
          </w:tcPr>
          <w:p w14:paraId="5EDEADF5">
            <w:pPr>
              <w:spacing w:line="240" w:lineRule="auto"/>
              <w:ind w:hanging="1"/>
              <w:jc w:val="center"/>
              <w:rPr>
                <w:rFonts w:hint="default" w:ascii="Times New Roman" w:hAnsi="Times New Roman" w:eastAsia="华文仿宋" w:cs="Times New Roman"/>
                <w:sz w:val="24"/>
                <w:szCs w:val="24"/>
              </w:rPr>
            </w:pPr>
            <w:r>
              <w:rPr>
                <w:rFonts w:hint="default" w:ascii="Times New Roman" w:hAnsi="Times New Roman" w:eastAsia="华文仿宋" w:cs="Times New Roman"/>
                <w:spacing w:val="3"/>
                <w:sz w:val="24"/>
                <w:szCs w:val="24"/>
              </w:rPr>
              <w:t>7</w:t>
            </w:r>
            <w:r>
              <w:rPr>
                <w:rFonts w:hint="default" w:ascii="Times New Roman" w:hAnsi="Times New Roman" w:eastAsia="华文仿宋" w:cs="Times New Roman"/>
                <w:spacing w:val="2"/>
                <w:sz w:val="24"/>
                <w:szCs w:val="24"/>
              </w:rPr>
              <w:t>.*号楼*层消防安全出口</w:t>
            </w:r>
            <w:r>
              <w:rPr>
                <w:rFonts w:hint="default" w:ascii="Times New Roman" w:hAnsi="Times New Roman" w:eastAsia="华文仿宋" w:cs="Times New Roman"/>
                <w:spacing w:val="-4"/>
                <w:sz w:val="24"/>
                <w:szCs w:val="24"/>
              </w:rPr>
              <w:t>指</w:t>
            </w:r>
            <w:r>
              <w:rPr>
                <w:rFonts w:hint="default" w:ascii="Times New Roman" w:hAnsi="Times New Roman" w:eastAsia="华文仿宋" w:cs="Times New Roman"/>
                <w:spacing w:val="-3"/>
                <w:sz w:val="24"/>
                <w:szCs w:val="24"/>
              </w:rPr>
              <w:t>示缺失。</w:t>
            </w:r>
          </w:p>
        </w:tc>
        <w:tc>
          <w:tcPr>
            <w:tcW w:w="4078" w:type="dxa"/>
            <w:vAlign w:val="center"/>
          </w:tcPr>
          <w:p w14:paraId="7D4B944A">
            <w:pPr>
              <w:spacing w:line="240" w:lineRule="auto"/>
              <w:ind w:firstLine="815"/>
              <w:jc w:val="both"/>
              <w:textAlignment w:val="center"/>
              <w:rPr>
                <w:rFonts w:hint="default" w:ascii="Times New Roman" w:hAnsi="Times New Roman" w:eastAsia="华文仿宋" w:cs="Times New Roman"/>
                <w:sz w:val="24"/>
                <w:szCs w:val="24"/>
              </w:rPr>
            </w:pPr>
            <w:r>
              <w:rPr>
                <w:rFonts w:hint="default" w:ascii="Times New Roman" w:hAnsi="Times New Roman" w:eastAsia="华文仿宋" w:cs="Times New Roman"/>
                <w:sz w:val="24"/>
                <w:szCs w:val="24"/>
              </w:rPr>
              <w:drawing>
                <wp:inline distT="0" distB="0" distL="0" distR="0">
                  <wp:extent cx="1659890" cy="2019935"/>
                  <wp:effectExtent l="0" t="0" r="16510" b="18415"/>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659890" cy="2019935"/>
                          </a:xfrm>
                          <a:prstGeom prst="rect">
                            <a:avLst/>
                          </a:prstGeom>
                          <a:noFill/>
                          <a:ln>
                            <a:noFill/>
                          </a:ln>
                        </pic:spPr>
                      </pic:pic>
                    </a:graphicData>
                  </a:graphic>
                </wp:inline>
              </w:drawing>
            </w:r>
          </w:p>
        </w:tc>
      </w:tr>
      <w:tr w14:paraId="4455C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2" w:hRule="atLeast"/>
          <w:jc w:val="center"/>
        </w:trPr>
        <w:tc>
          <w:tcPr>
            <w:tcW w:w="2881" w:type="dxa"/>
            <w:vAlign w:val="center"/>
          </w:tcPr>
          <w:p w14:paraId="4706240E">
            <w:pPr>
              <w:spacing w:line="240" w:lineRule="auto"/>
              <w:ind w:hanging="6"/>
              <w:jc w:val="center"/>
              <w:rPr>
                <w:rFonts w:hint="default" w:ascii="Times New Roman" w:hAnsi="Times New Roman" w:eastAsia="华文仿宋" w:cs="Times New Roman"/>
                <w:sz w:val="24"/>
                <w:szCs w:val="24"/>
              </w:rPr>
            </w:pPr>
            <w:r>
              <w:rPr>
                <w:rFonts w:hint="default" w:ascii="Times New Roman" w:hAnsi="Times New Roman" w:eastAsia="华文仿宋" w:cs="Times New Roman"/>
                <w:spacing w:val="4"/>
                <w:sz w:val="24"/>
                <w:szCs w:val="24"/>
              </w:rPr>
              <w:t>8.*</w:t>
            </w:r>
            <w:r>
              <w:rPr>
                <w:rFonts w:hint="default" w:ascii="Times New Roman" w:hAnsi="Times New Roman" w:eastAsia="华文仿宋" w:cs="Times New Roman"/>
                <w:spacing w:val="3"/>
                <w:sz w:val="24"/>
                <w:szCs w:val="24"/>
              </w:rPr>
              <w:t>号</w:t>
            </w:r>
            <w:r>
              <w:rPr>
                <w:rFonts w:hint="default" w:ascii="Times New Roman" w:hAnsi="Times New Roman" w:eastAsia="华文仿宋" w:cs="Times New Roman"/>
                <w:spacing w:val="2"/>
                <w:sz w:val="24"/>
                <w:szCs w:val="24"/>
              </w:rPr>
              <w:t>楼*层楼梯间安全护栏缺失；*号楼*层楼梯间</w:t>
            </w:r>
            <w:r>
              <w:rPr>
                <w:rFonts w:hint="default" w:ascii="Times New Roman" w:hAnsi="Times New Roman" w:eastAsia="华文仿宋" w:cs="Times New Roman"/>
                <w:spacing w:val="-27"/>
                <w:sz w:val="24"/>
                <w:szCs w:val="24"/>
              </w:rPr>
              <w:t>平</w:t>
            </w:r>
            <w:r>
              <w:rPr>
                <w:rFonts w:hint="default" w:ascii="Times New Roman" w:hAnsi="Times New Roman" w:eastAsia="华文仿宋" w:cs="Times New Roman"/>
                <w:spacing w:val="-16"/>
                <w:sz w:val="24"/>
                <w:szCs w:val="24"/>
              </w:rPr>
              <w:t>台窗距地0.5米，且无安</w:t>
            </w:r>
            <w:r>
              <w:rPr>
                <w:rFonts w:hint="default" w:ascii="Times New Roman" w:hAnsi="Times New Roman" w:eastAsia="华文仿宋" w:cs="Times New Roman"/>
                <w:spacing w:val="-13"/>
                <w:sz w:val="24"/>
                <w:szCs w:val="24"/>
              </w:rPr>
              <w:t>全</w:t>
            </w:r>
            <w:r>
              <w:rPr>
                <w:rFonts w:hint="default" w:ascii="Times New Roman" w:hAnsi="Times New Roman" w:eastAsia="华文仿宋" w:cs="Times New Roman"/>
                <w:spacing w:val="-9"/>
                <w:sz w:val="24"/>
                <w:szCs w:val="24"/>
              </w:rPr>
              <w:t>护栏，不符合《住宅设计</w:t>
            </w:r>
            <w:r>
              <w:rPr>
                <w:rFonts w:hint="default" w:ascii="Times New Roman" w:hAnsi="Times New Roman" w:eastAsia="华文仿宋" w:cs="Times New Roman"/>
                <w:spacing w:val="-13"/>
                <w:sz w:val="24"/>
                <w:szCs w:val="24"/>
              </w:rPr>
              <w:t>规</w:t>
            </w:r>
            <w:r>
              <w:rPr>
                <w:rFonts w:hint="default" w:ascii="Times New Roman" w:hAnsi="Times New Roman" w:eastAsia="华文仿宋" w:cs="Times New Roman"/>
                <w:spacing w:val="-9"/>
                <w:sz w:val="24"/>
                <w:szCs w:val="24"/>
              </w:rPr>
              <w:t>范》的规定，存在人员坠</w:t>
            </w:r>
          </w:p>
          <w:p w14:paraId="358D9430">
            <w:pPr>
              <w:spacing w:line="240" w:lineRule="auto"/>
              <w:jc w:val="center"/>
              <w:rPr>
                <w:rFonts w:hint="default" w:ascii="Times New Roman" w:hAnsi="Times New Roman" w:eastAsia="华文仿宋" w:cs="Times New Roman"/>
                <w:sz w:val="24"/>
                <w:szCs w:val="24"/>
              </w:rPr>
            </w:pPr>
            <w:r>
              <w:rPr>
                <w:rFonts w:hint="default" w:ascii="Times New Roman" w:hAnsi="Times New Roman" w:eastAsia="华文仿宋" w:cs="Times New Roman"/>
                <w:spacing w:val="-8"/>
                <w:sz w:val="24"/>
                <w:szCs w:val="24"/>
              </w:rPr>
              <w:t>落风险隐患。</w:t>
            </w:r>
          </w:p>
        </w:tc>
        <w:tc>
          <w:tcPr>
            <w:tcW w:w="4078" w:type="dxa"/>
            <w:vAlign w:val="center"/>
          </w:tcPr>
          <w:p w14:paraId="0EEADD38">
            <w:pPr>
              <w:spacing w:line="240" w:lineRule="auto"/>
              <w:ind w:firstLine="745"/>
              <w:jc w:val="both"/>
              <w:textAlignment w:val="center"/>
              <w:rPr>
                <w:rFonts w:hint="default" w:ascii="Times New Roman" w:hAnsi="Times New Roman" w:eastAsia="华文仿宋" w:cs="Times New Roman"/>
                <w:sz w:val="24"/>
                <w:szCs w:val="24"/>
              </w:rPr>
            </w:pPr>
            <w:r>
              <w:rPr>
                <w:rFonts w:hint="default" w:ascii="Times New Roman" w:hAnsi="Times New Roman" w:eastAsia="华文仿宋" w:cs="Times New Roman"/>
                <w:sz w:val="24"/>
                <w:szCs w:val="24"/>
              </w:rPr>
              <w:drawing>
                <wp:inline distT="0" distB="0" distL="0" distR="0">
                  <wp:extent cx="1816100" cy="1618615"/>
                  <wp:effectExtent l="0" t="0" r="12700" b="635"/>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1816100" cy="1618615"/>
                          </a:xfrm>
                          <a:prstGeom prst="rect">
                            <a:avLst/>
                          </a:prstGeom>
                          <a:noFill/>
                          <a:ln>
                            <a:noFill/>
                          </a:ln>
                        </pic:spPr>
                      </pic:pic>
                    </a:graphicData>
                  </a:graphic>
                </wp:inline>
              </w:drawing>
            </w:r>
          </w:p>
        </w:tc>
      </w:tr>
    </w:tbl>
    <w:p w14:paraId="0124B7FB">
      <w:pPr>
        <w:spacing w:line="360" w:lineRule="auto"/>
        <w:rPr>
          <w:rFonts w:hint="default" w:ascii="Times New Roman" w:hAnsi="Times New Roman" w:cs="Times New Roman"/>
          <w:sz w:val="24"/>
          <w:szCs w:val="24"/>
        </w:rPr>
      </w:pPr>
    </w:p>
    <w:p w14:paraId="4BFEC76A">
      <w:pPr>
        <w:rPr>
          <w:rFonts w:hint="default" w:ascii="Times New Roman" w:hAnsi="Times New Roman" w:eastAsia="仿宋_GB2312" w:cs="Times New Roman"/>
          <w:b/>
          <w:bCs/>
          <w:spacing w:val="6"/>
          <w:sz w:val="32"/>
          <w:szCs w:val="32"/>
        </w:rPr>
      </w:pPr>
      <w:r>
        <w:rPr>
          <w:rFonts w:hint="default" w:ascii="Times New Roman" w:hAnsi="Times New Roman" w:eastAsia="仿宋_GB2312" w:cs="Times New Roman"/>
          <w:b/>
          <w:bCs/>
          <w:spacing w:val="6"/>
          <w:sz w:val="32"/>
          <w:szCs w:val="32"/>
        </w:rPr>
        <w:br w:type="page"/>
      </w:r>
    </w:p>
    <w:p w14:paraId="28D59933">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6"/>
          <w:sz w:val="32"/>
          <w:szCs w:val="32"/>
        </w:rPr>
        <w:t>指标</w:t>
      </w:r>
      <w:r>
        <w:rPr>
          <w:rFonts w:hint="default" w:ascii="Times New Roman" w:hAnsi="Times New Roman" w:eastAsia="仿宋_GB2312" w:cs="Times New Roman"/>
          <w:b/>
          <w:bCs/>
          <w:spacing w:val="4"/>
          <w:sz w:val="32"/>
          <w:szCs w:val="32"/>
        </w:rPr>
        <w:t>4</w:t>
      </w:r>
      <w:r>
        <w:rPr>
          <w:rFonts w:hint="default" w:ascii="Times New Roman" w:hAnsi="Times New Roman" w:eastAsia="仿宋_GB2312" w:cs="Times New Roman"/>
          <w:b/>
          <w:bCs/>
          <w:spacing w:val="3"/>
          <w:sz w:val="32"/>
          <w:szCs w:val="32"/>
        </w:rPr>
        <w:t>：存在围护安全隐患的住宅数量（栋）</w:t>
      </w:r>
    </w:p>
    <w:p w14:paraId="2D89E0DB">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59BF3A4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查找既有住宅中存在外墙保温材料、装饰材料、悬挂设施、门窗玻璃等破损、脱落等安全风险，以及存在屋顶、外墙、地下室渗漏积水等问题。</w:t>
      </w:r>
    </w:p>
    <w:p w14:paraId="638DC211">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6D25DBF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外墙装饰材料和保温材料开裂、损坏、脱落。</w:t>
      </w:r>
    </w:p>
    <w:p w14:paraId="745271B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外墙悬挂设施不规范（如过大、过高）或损坏松脱的情况。</w:t>
      </w:r>
    </w:p>
    <w:p w14:paraId="29B3906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3</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门窗玻璃存在破损、脱落等情况。</w:t>
      </w:r>
    </w:p>
    <w:p w14:paraId="3103753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4</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屋面排水不畅、漏水。</w:t>
      </w:r>
    </w:p>
    <w:p w14:paraId="10CF14C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5</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外墙内侧、地下室渗水漏水。</w:t>
      </w:r>
    </w:p>
    <w:p w14:paraId="52416A3D">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2E20E71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物业了解情况并调取相关资料、人工查看等。</w:t>
      </w:r>
    </w:p>
    <w:p w14:paraId="79BCF923">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【示范案例】</w:t>
      </w:r>
    </w:p>
    <w:p w14:paraId="0A9D5FC8">
      <w:pPr>
        <w:pStyle w:val="2"/>
        <w:rPr>
          <w:rFonts w:hint="default" w:ascii="Times New Roman" w:hAnsi="Times New Roman" w:cs="Times New Roman"/>
        </w:rPr>
      </w:pPr>
    </w:p>
    <w:p w14:paraId="0C9CE41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spacing w:val="1"/>
          <w:sz w:val="32"/>
          <w:szCs w:val="32"/>
        </w:rPr>
      </w:pPr>
      <w:r>
        <w:rPr>
          <w:rFonts w:hint="default" w:ascii="Times New Roman" w:hAnsi="Times New Roman" w:eastAsia="仿宋_GB2312" w:cs="Times New Roman"/>
          <w:b/>
          <w:bCs/>
          <w:spacing w:val="2"/>
          <w:sz w:val="32"/>
          <w:szCs w:val="32"/>
        </w:rPr>
        <w:t>___</w:t>
      </w:r>
      <w:r>
        <w:rPr>
          <w:rFonts w:hint="default" w:ascii="Times New Roman" w:hAnsi="Times New Roman" w:eastAsia="仿宋_GB2312" w:cs="Times New Roman"/>
          <w:b/>
          <w:bCs/>
          <w:spacing w:val="1"/>
          <w:sz w:val="32"/>
          <w:szCs w:val="32"/>
        </w:rPr>
        <w:t>__社区住房维度具体问题</w:t>
      </w:r>
    </w:p>
    <w:p w14:paraId="3FE11D63">
      <w:pPr>
        <w:pStyle w:val="2"/>
        <w:rPr>
          <w:rFonts w:hint="default" w:ascii="Times New Roman" w:hAnsi="Times New Roman" w:cs="Times New Roman"/>
        </w:rPr>
      </w:pPr>
    </w:p>
    <w:tbl>
      <w:tblPr>
        <w:tblStyle w:val="57"/>
        <w:tblW w:w="776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93"/>
        <w:gridCol w:w="5472"/>
      </w:tblGrid>
      <w:tr w14:paraId="5BA92C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 w:hRule="atLeast"/>
          <w:jc w:val="center"/>
        </w:trPr>
        <w:tc>
          <w:tcPr>
            <w:tcW w:w="2293" w:type="dxa"/>
            <w:vAlign w:val="center"/>
          </w:tcPr>
          <w:p w14:paraId="79798DDC">
            <w:pPr>
              <w:spacing w:line="240" w:lineRule="auto"/>
              <w:jc w:val="center"/>
              <w:rPr>
                <w:rFonts w:hint="default" w:ascii="Times New Roman" w:hAnsi="Times New Roman" w:eastAsia="华文仿宋" w:cs="Times New Roman"/>
                <w:b/>
                <w:bCs/>
                <w:sz w:val="24"/>
                <w:szCs w:val="24"/>
              </w:rPr>
            </w:pPr>
            <w:r>
              <w:rPr>
                <w:rFonts w:hint="default" w:ascii="Times New Roman" w:hAnsi="Times New Roman" w:eastAsia="华文仿宋" w:cs="Times New Roman"/>
                <w:b/>
                <w:bCs/>
                <w:spacing w:val="-12"/>
                <w:sz w:val="24"/>
                <w:szCs w:val="24"/>
              </w:rPr>
              <w:t>问</w:t>
            </w:r>
            <w:r>
              <w:rPr>
                <w:rFonts w:hint="default" w:ascii="Times New Roman" w:hAnsi="Times New Roman" w:eastAsia="华文仿宋" w:cs="Times New Roman"/>
                <w:b/>
                <w:bCs/>
                <w:spacing w:val="-11"/>
                <w:sz w:val="24"/>
                <w:szCs w:val="24"/>
              </w:rPr>
              <w:t>题</w:t>
            </w:r>
          </w:p>
        </w:tc>
        <w:tc>
          <w:tcPr>
            <w:tcW w:w="5472" w:type="dxa"/>
            <w:vAlign w:val="center"/>
          </w:tcPr>
          <w:p w14:paraId="1B8EC396">
            <w:pPr>
              <w:spacing w:line="240" w:lineRule="auto"/>
              <w:jc w:val="center"/>
              <w:rPr>
                <w:rFonts w:hint="default" w:ascii="Times New Roman" w:hAnsi="Times New Roman" w:eastAsia="华文仿宋" w:cs="Times New Roman"/>
                <w:b/>
                <w:bCs/>
                <w:sz w:val="24"/>
                <w:szCs w:val="24"/>
              </w:rPr>
            </w:pPr>
            <w:r>
              <w:rPr>
                <w:rFonts w:hint="default" w:ascii="Times New Roman" w:hAnsi="Times New Roman" w:eastAsia="华文仿宋" w:cs="Times New Roman"/>
                <w:b/>
                <w:bCs/>
                <w:spacing w:val="-6"/>
                <w:sz w:val="24"/>
                <w:szCs w:val="24"/>
              </w:rPr>
              <w:t>照片</w:t>
            </w:r>
          </w:p>
        </w:tc>
      </w:tr>
      <w:tr w14:paraId="7EB318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1" w:hRule="atLeast"/>
          <w:jc w:val="center"/>
        </w:trPr>
        <w:tc>
          <w:tcPr>
            <w:tcW w:w="2293" w:type="dxa"/>
            <w:vAlign w:val="center"/>
          </w:tcPr>
          <w:p w14:paraId="491BCC48">
            <w:pPr>
              <w:spacing w:line="240" w:lineRule="auto"/>
              <w:ind w:firstLine="12"/>
              <w:jc w:val="center"/>
              <w:rPr>
                <w:rFonts w:hint="default" w:ascii="Times New Roman" w:hAnsi="Times New Roman" w:eastAsia="华文仿宋" w:cs="Times New Roman"/>
                <w:sz w:val="24"/>
                <w:szCs w:val="24"/>
              </w:rPr>
            </w:pPr>
            <w:r>
              <w:rPr>
                <w:rFonts w:hint="default" w:ascii="Times New Roman" w:hAnsi="Times New Roman" w:eastAsia="华文仿宋" w:cs="Times New Roman"/>
                <w:spacing w:val="-10"/>
                <w:sz w:val="24"/>
                <w:szCs w:val="24"/>
              </w:rPr>
              <w:t>1</w:t>
            </w:r>
            <w:r>
              <w:rPr>
                <w:rFonts w:hint="default" w:ascii="Times New Roman" w:hAnsi="Times New Roman" w:eastAsia="华文仿宋" w:cs="Times New Roman"/>
                <w:spacing w:val="-8"/>
                <w:sz w:val="24"/>
                <w:szCs w:val="24"/>
              </w:rPr>
              <w:t>.</w:t>
            </w:r>
            <w:r>
              <w:rPr>
                <w:rFonts w:hint="default" w:ascii="Times New Roman" w:hAnsi="Times New Roman" w:eastAsia="华文仿宋" w:cs="Times New Roman"/>
                <w:spacing w:val="-5"/>
                <w:sz w:val="24"/>
                <w:szCs w:val="24"/>
              </w:rPr>
              <w:t>*号楼外墙装</w:t>
            </w:r>
            <w:r>
              <w:rPr>
                <w:rFonts w:hint="default" w:ascii="Times New Roman" w:hAnsi="Times New Roman" w:eastAsia="华文仿宋" w:cs="Times New Roman"/>
                <w:spacing w:val="16"/>
                <w:sz w:val="24"/>
                <w:szCs w:val="24"/>
              </w:rPr>
              <w:t>饰</w:t>
            </w:r>
            <w:r>
              <w:rPr>
                <w:rFonts w:hint="default" w:ascii="Times New Roman" w:hAnsi="Times New Roman" w:eastAsia="华文仿宋" w:cs="Times New Roman"/>
                <w:spacing w:val="13"/>
                <w:sz w:val="24"/>
                <w:szCs w:val="24"/>
              </w:rPr>
              <w:t>材料和保温材</w:t>
            </w:r>
            <w:r>
              <w:rPr>
                <w:rFonts w:hint="default" w:ascii="Times New Roman" w:hAnsi="Times New Roman" w:eastAsia="华文仿宋" w:cs="Times New Roman"/>
                <w:spacing w:val="-24"/>
                <w:sz w:val="24"/>
                <w:szCs w:val="24"/>
              </w:rPr>
              <w:t>料</w:t>
            </w:r>
            <w:r>
              <w:rPr>
                <w:rFonts w:hint="default" w:ascii="Times New Roman" w:hAnsi="Times New Roman" w:eastAsia="华文仿宋" w:cs="Times New Roman"/>
                <w:spacing w:val="-23"/>
                <w:sz w:val="24"/>
                <w:szCs w:val="24"/>
              </w:rPr>
              <w:t>开裂、损坏、脱</w:t>
            </w:r>
            <w:r>
              <w:rPr>
                <w:rFonts w:hint="default" w:ascii="Times New Roman" w:hAnsi="Times New Roman" w:eastAsia="华文仿宋" w:cs="Times New Roman"/>
                <w:spacing w:val="-14"/>
                <w:sz w:val="24"/>
                <w:szCs w:val="24"/>
              </w:rPr>
              <w:t>落</w:t>
            </w:r>
            <w:r>
              <w:rPr>
                <w:rFonts w:hint="default" w:ascii="Times New Roman" w:hAnsi="Times New Roman" w:eastAsia="华文仿宋" w:cs="Times New Roman"/>
                <w:spacing w:val="-13"/>
                <w:sz w:val="24"/>
                <w:szCs w:val="24"/>
              </w:rPr>
              <w:t>。</w:t>
            </w:r>
          </w:p>
        </w:tc>
        <w:tc>
          <w:tcPr>
            <w:tcW w:w="5472" w:type="dxa"/>
            <w:vAlign w:val="center"/>
          </w:tcPr>
          <w:p w14:paraId="1AB8C499">
            <w:pPr>
              <w:spacing w:line="240" w:lineRule="auto"/>
              <w:ind w:firstLine="570"/>
              <w:jc w:val="center"/>
              <w:textAlignment w:val="center"/>
              <w:rPr>
                <w:rFonts w:hint="default" w:ascii="Times New Roman" w:hAnsi="Times New Roman" w:eastAsia="华文仿宋" w:cs="Times New Roman"/>
                <w:sz w:val="24"/>
                <w:szCs w:val="24"/>
              </w:rPr>
            </w:pPr>
            <w:r>
              <w:rPr>
                <w:rFonts w:hint="default" w:ascii="Times New Roman" w:hAnsi="Times New Roman" w:eastAsia="华文仿宋" w:cs="Times New Roman"/>
                <w:sz w:val="24"/>
                <w:szCs w:val="24"/>
              </w:rPr>
              <w:drawing>
                <wp:inline distT="0" distB="0" distL="0" distR="0">
                  <wp:extent cx="2743200" cy="215265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a:picLocks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2743200" cy="2152650"/>
                          </a:xfrm>
                          <a:prstGeom prst="rect">
                            <a:avLst/>
                          </a:prstGeom>
                          <a:noFill/>
                          <a:ln>
                            <a:noFill/>
                          </a:ln>
                        </pic:spPr>
                      </pic:pic>
                    </a:graphicData>
                  </a:graphic>
                </wp:inline>
              </w:drawing>
            </w:r>
          </w:p>
        </w:tc>
      </w:tr>
      <w:tr w14:paraId="1F0287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2" w:hRule="atLeast"/>
          <w:jc w:val="center"/>
        </w:trPr>
        <w:tc>
          <w:tcPr>
            <w:tcW w:w="2293" w:type="dxa"/>
            <w:vAlign w:val="center"/>
          </w:tcPr>
          <w:p w14:paraId="79E7EF87">
            <w:pPr>
              <w:spacing w:line="240" w:lineRule="auto"/>
              <w:ind w:hanging="4"/>
              <w:jc w:val="center"/>
              <w:rPr>
                <w:rFonts w:hint="default" w:ascii="Times New Roman" w:hAnsi="Times New Roman" w:eastAsia="华文仿宋" w:cs="Times New Roman"/>
                <w:sz w:val="24"/>
                <w:szCs w:val="24"/>
              </w:rPr>
            </w:pPr>
            <w:r>
              <w:rPr>
                <w:rFonts w:hint="default" w:ascii="Times New Roman" w:hAnsi="Times New Roman" w:eastAsia="华文仿宋" w:cs="Times New Roman"/>
                <w:spacing w:val="-4"/>
                <w:sz w:val="24"/>
                <w:szCs w:val="24"/>
              </w:rPr>
              <w:t>2.*号楼屋面排</w:t>
            </w:r>
            <w:r>
              <w:rPr>
                <w:rFonts w:hint="default" w:ascii="Times New Roman" w:hAnsi="Times New Roman" w:eastAsia="华文仿宋" w:cs="Times New Roman"/>
                <w:spacing w:val="-10"/>
                <w:sz w:val="24"/>
                <w:szCs w:val="24"/>
              </w:rPr>
              <w:t>水</w:t>
            </w:r>
            <w:r>
              <w:rPr>
                <w:rFonts w:hint="default" w:ascii="Times New Roman" w:hAnsi="Times New Roman" w:eastAsia="华文仿宋" w:cs="Times New Roman"/>
                <w:spacing w:val="-5"/>
                <w:sz w:val="24"/>
                <w:szCs w:val="24"/>
              </w:rPr>
              <w:t>不畅、存在屋</w:t>
            </w:r>
            <w:r>
              <w:rPr>
                <w:rFonts w:hint="default" w:ascii="Times New Roman" w:hAnsi="Times New Roman" w:eastAsia="华文仿宋" w:cs="Times New Roman"/>
                <w:spacing w:val="-9"/>
                <w:sz w:val="24"/>
                <w:szCs w:val="24"/>
              </w:rPr>
              <w:t>顶</w:t>
            </w:r>
            <w:r>
              <w:rPr>
                <w:rFonts w:hint="default" w:ascii="Times New Roman" w:hAnsi="Times New Roman" w:eastAsia="华文仿宋" w:cs="Times New Roman"/>
                <w:spacing w:val="-5"/>
                <w:sz w:val="24"/>
                <w:szCs w:val="24"/>
              </w:rPr>
              <w:t>漏水现象。</w:t>
            </w:r>
          </w:p>
        </w:tc>
        <w:tc>
          <w:tcPr>
            <w:tcW w:w="5472" w:type="dxa"/>
            <w:vAlign w:val="center"/>
          </w:tcPr>
          <w:p w14:paraId="4C332FD5">
            <w:pPr>
              <w:spacing w:line="240" w:lineRule="auto"/>
              <w:ind w:firstLine="611"/>
              <w:jc w:val="center"/>
              <w:textAlignment w:val="center"/>
              <w:rPr>
                <w:rFonts w:hint="default" w:ascii="Times New Roman" w:hAnsi="Times New Roman" w:eastAsia="华文仿宋" w:cs="Times New Roman"/>
                <w:sz w:val="24"/>
                <w:szCs w:val="24"/>
              </w:rPr>
            </w:pPr>
            <w:r>
              <w:rPr>
                <w:rFonts w:hint="default" w:ascii="Times New Roman" w:hAnsi="Times New Roman" w:eastAsia="华文仿宋" w:cs="Times New Roman"/>
                <w:sz w:val="24"/>
                <w:szCs w:val="24"/>
              </w:rPr>
              <w:drawing>
                <wp:inline distT="0" distB="0" distL="0" distR="0">
                  <wp:extent cx="2686050" cy="2019300"/>
                  <wp:effectExtent l="0" t="0" r="0" b="0"/>
                  <wp:docPr id="13" name="IM 13"/>
                  <wp:cNvGraphicFramePr/>
                  <a:graphic xmlns:a="http://schemas.openxmlformats.org/drawingml/2006/main">
                    <a:graphicData uri="http://schemas.openxmlformats.org/drawingml/2006/picture">
                      <pic:pic xmlns:pic="http://schemas.openxmlformats.org/drawingml/2006/picture">
                        <pic:nvPicPr>
                          <pic:cNvPr id="13" name="IM 13"/>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2686050" cy="2019300"/>
                          </a:xfrm>
                          <a:prstGeom prst="rect">
                            <a:avLst/>
                          </a:prstGeom>
                          <a:noFill/>
                          <a:ln>
                            <a:noFill/>
                          </a:ln>
                        </pic:spPr>
                      </pic:pic>
                    </a:graphicData>
                  </a:graphic>
                </wp:inline>
              </w:drawing>
            </w:r>
          </w:p>
        </w:tc>
      </w:tr>
      <w:tr w14:paraId="4FCA1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4" w:hRule="atLeast"/>
          <w:jc w:val="center"/>
        </w:trPr>
        <w:tc>
          <w:tcPr>
            <w:tcW w:w="2293" w:type="dxa"/>
            <w:vAlign w:val="center"/>
          </w:tcPr>
          <w:p w14:paraId="66FA4CBF">
            <w:pPr>
              <w:spacing w:line="240" w:lineRule="auto"/>
              <w:ind w:hanging="7"/>
              <w:jc w:val="center"/>
              <w:rPr>
                <w:rFonts w:hint="default" w:ascii="Times New Roman" w:hAnsi="Times New Roman" w:eastAsia="华文仿宋" w:cs="Times New Roman"/>
                <w:sz w:val="24"/>
                <w:szCs w:val="24"/>
              </w:rPr>
            </w:pPr>
            <w:r>
              <w:rPr>
                <w:rFonts w:hint="default" w:ascii="Times New Roman" w:hAnsi="Times New Roman" w:eastAsia="华文仿宋" w:cs="Times New Roman"/>
                <w:spacing w:val="11"/>
                <w:sz w:val="24"/>
                <w:szCs w:val="24"/>
              </w:rPr>
              <w:t>3.*号楼地下</w:t>
            </w:r>
            <w:r>
              <w:rPr>
                <w:rFonts w:hint="default" w:ascii="Times New Roman" w:hAnsi="Times New Roman" w:eastAsia="华文仿宋" w:cs="Times New Roman"/>
                <w:spacing w:val="10"/>
                <w:sz w:val="24"/>
                <w:szCs w:val="24"/>
              </w:rPr>
              <w:t>室</w:t>
            </w:r>
            <w:r>
              <w:rPr>
                <w:rFonts w:hint="default" w:ascii="Times New Roman" w:hAnsi="Times New Roman" w:eastAsia="华文仿宋" w:cs="Times New Roman"/>
                <w:spacing w:val="-13"/>
                <w:sz w:val="24"/>
                <w:szCs w:val="24"/>
              </w:rPr>
              <w:t>漏水。</w:t>
            </w:r>
          </w:p>
        </w:tc>
        <w:tc>
          <w:tcPr>
            <w:tcW w:w="5472" w:type="dxa"/>
            <w:vAlign w:val="center"/>
          </w:tcPr>
          <w:p w14:paraId="3D90D52A">
            <w:pPr>
              <w:spacing w:line="240" w:lineRule="auto"/>
              <w:ind w:firstLine="610"/>
              <w:jc w:val="center"/>
              <w:textAlignment w:val="center"/>
              <w:rPr>
                <w:rFonts w:hint="default" w:ascii="Times New Roman" w:hAnsi="Times New Roman" w:eastAsia="华文仿宋" w:cs="Times New Roman"/>
                <w:sz w:val="24"/>
                <w:szCs w:val="24"/>
              </w:rPr>
            </w:pPr>
            <w:r>
              <w:rPr>
                <w:rFonts w:hint="default" w:ascii="Times New Roman" w:hAnsi="Times New Roman" w:eastAsia="华文仿宋" w:cs="Times New Roman"/>
                <w:sz w:val="24"/>
                <w:szCs w:val="24"/>
              </w:rPr>
              <w:drawing>
                <wp:inline distT="0" distB="0" distL="0" distR="0">
                  <wp:extent cx="2695575" cy="266700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2695575" cy="2667000"/>
                          </a:xfrm>
                          <a:prstGeom prst="rect">
                            <a:avLst/>
                          </a:prstGeom>
                          <a:noFill/>
                          <a:ln>
                            <a:noFill/>
                          </a:ln>
                        </pic:spPr>
                      </pic:pic>
                    </a:graphicData>
                  </a:graphic>
                </wp:inline>
              </w:drawing>
            </w:r>
          </w:p>
        </w:tc>
      </w:tr>
      <w:tr w14:paraId="795055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3" w:hRule="atLeast"/>
          <w:jc w:val="center"/>
        </w:trPr>
        <w:tc>
          <w:tcPr>
            <w:tcW w:w="2293" w:type="dxa"/>
            <w:vAlign w:val="center"/>
          </w:tcPr>
          <w:p w14:paraId="05260AA3">
            <w:pPr>
              <w:spacing w:line="240" w:lineRule="auto"/>
              <w:ind w:hanging="9"/>
              <w:jc w:val="center"/>
              <w:rPr>
                <w:rFonts w:hint="default" w:ascii="Times New Roman" w:hAnsi="Times New Roman" w:eastAsia="华文仿宋" w:cs="Times New Roman"/>
                <w:sz w:val="24"/>
                <w:szCs w:val="24"/>
              </w:rPr>
            </w:pPr>
            <w:r>
              <w:rPr>
                <w:rFonts w:hint="default" w:ascii="Times New Roman" w:hAnsi="Times New Roman" w:eastAsia="华文仿宋" w:cs="Times New Roman"/>
                <w:spacing w:val="-5"/>
                <w:sz w:val="24"/>
                <w:szCs w:val="24"/>
              </w:rPr>
              <w:t>4</w:t>
            </w:r>
            <w:r>
              <w:rPr>
                <w:rFonts w:hint="default" w:ascii="Times New Roman" w:hAnsi="Times New Roman" w:eastAsia="华文仿宋" w:cs="Times New Roman"/>
                <w:spacing w:val="-4"/>
                <w:sz w:val="24"/>
                <w:szCs w:val="24"/>
              </w:rPr>
              <w:t>.门窗无法正常开</w:t>
            </w:r>
            <w:r>
              <w:rPr>
                <w:rFonts w:hint="default" w:ascii="Times New Roman" w:hAnsi="Times New Roman" w:eastAsia="华文仿宋" w:cs="Times New Roman"/>
                <w:spacing w:val="-2"/>
                <w:sz w:val="24"/>
                <w:szCs w:val="24"/>
              </w:rPr>
              <w:t>关、玻璃破损</w:t>
            </w:r>
          </w:p>
        </w:tc>
        <w:tc>
          <w:tcPr>
            <w:tcW w:w="5472" w:type="dxa"/>
            <w:vAlign w:val="center"/>
          </w:tcPr>
          <w:p w14:paraId="461F9B04">
            <w:pPr>
              <w:spacing w:line="240" w:lineRule="auto"/>
              <w:ind w:firstLine="555"/>
              <w:jc w:val="center"/>
              <w:textAlignment w:val="center"/>
              <w:rPr>
                <w:rFonts w:hint="default" w:ascii="Times New Roman" w:hAnsi="Times New Roman" w:eastAsia="华文仿宋" w:cs="Times New Roman"/>
                <w:sz w:val="24"/>
                <w:szCs w:val="24"/>
              </w:rPr>
            </w:pPr>
            <w:r>
              <w:rPr>
                <w:rFonts w:hint="default" w:ascii="Times New Roman" w:hAnsi="Times New Roman" w:eastAsia="华文仿宋" w:cs="Times New Roman"/>
                <w:sz w:val="24"/>
                <w:szCs w:val="24"/>
              </w:rPr>
              <w:drawing>
                <wp:inline distT="0" distB="0" distL="0" distR="0">
                  <wp:extent cx="2762250" cy="1876425"/>
                  <wp:effectExtent l="0" t="0" r="0" b="0"/>
                  <wp:docPr id="15" name="IM 15"/>
                  <wp:cNvGraphicFramePr/>
                  <a:graphic xmlns:a="http://schemas.openxmlformats.org/drawingml/2006/main">
                    <a:graphicData uri="http://schemas.openxmlformats.org/drawingml/2006/picture">
                      <pic:pic xmlns:pic="http://schemas.openxmlformats.org/drawingml/2006/picture">
                        <pic:nvPicPr>
                          <pic:cNvPr id="15" name="IM 15"/>
                          <pic:cNvPicPr>
                            <a:picLocks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2762250" cy="1876425"/>
                          </a:xfrm>
                          <a:prstGeom prst="rect">
                            <a:avLst/>
                          </a:prstGeom>
                          <a:noFill/>
                          <a:ln>
                            <a:noFill/>
                          </a:ln>
                        </pic:spPr>
                      </pic:pic>
                    </a:graphicData>
                  </a:graphic>
                </wp:inline>
              </w:drawing>
            </w:r>
          </w:p>
        </w:tc>
      </w:tr>
    </w:tbl>
    <w:p w14:paraId="1F9157AD">
      <w:pPr>
        <w:spacing w:line="360" w:lineRule="auto"/>
        <w:rPr>
          <w:rFonts w:hint="default" w:ascii="Times New Roman" w:hAnsi="Times New Roman" w:cs="Times New Roman"/>
          <w:sz w:val="24"/>
          <w:szCs w:val="24"/>
        </w:rPr>
      </w:pPr>
    </w:p>
    <w:p w14:paraId="5C271C52">
      <w:pPr>
        <w:spacing w:line="360" w:lineRule="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指标</w:t>
      </w:r>
      <w:r>
        <w:rPr>
          <w:rFonts w:hint="default" w:ascii="Times New Roman" w:hAnsi="Times New Roman" w:eastAsia="仿宋_GB2312" w:cs="Times New Roman"/>
          <w:b/>
          <w:bCs/>
          <w:spacing w:val="2"/>
          <w:sz w:val="32"/>
          <w:szCs w:val="32"/>
        </w:rPr>
        <w:t>5：住宅性能不达标的住宅数量（栋）</w:t>
      </w:r>
    </w:p>
    <w:p w14:paraId="732EEAAA">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4C17733A">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按照《住宅性能评定标准》，调查既有住宅中没有厨房、卫生间等基本功能空间的情况。具备条件的，查找既有住宅在采光、通风等性能方面的短板问题。</w:t>
      </w:r>
    </w:p>
    <w:p w14:paraId="7C74A7CA">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22A83CDF">
      <w:pPr>
        <w:numPr>
          <w:ilvl w:val="0"/>
          <w:numId w:val="0"/>
        </w:numPr>
        <w:spacing w:line="360" w:lineRule="auto"/>
        <w:ind w:firstLine="640" w:firstLineChars="200"/>
        <w:rPr>
          <w:rFonts w:hint="default" w:ascii="Times New Roman" w:hAnsi="Times New Roman" w:eastAsia="仿宋_GB2312" w:cs="Times New Roman"/>
          <w:iCs/>
          <w:color w:val="000000"/>
          <w:sz w:val="32"/>
          <w:szCs w:val="32"/>
        </w:rPr>
      </w:pPr>
      <w:r>
        <w:rPr>
          <w:rFonts w:hint="eastAsia" w:ascii="Times New Roman" w:hAnsi="Times New Roman" w:eastAsia="仿宋_GB2312" w:cs="Times New Roman"/>
          <w:iCs/>
          <w:color w:val="000000"/>
          <w:sz w:val="32"/>
          <w:szCs w:val="32"/>
          <w:lang w:val="en-US" w:eastAsia="zh-CN"/>
        </w:rPr>
        <w:t>1</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没有独立厨房、卫生间等基本功能空间。</w:t>
      </w:r>
    </w:p>
    <w:p w14:paraId="0FB8BCAA">
      <w:pPr>
        <w:numPr>
          <w:ilvl w:val="0"/>
          <w:numId w:val="0"/>
        </w:numPr>
        <w:spacing w:line="360" w:lineRule="auto"/>
        <w:ind w:firstLine="640" w:firstLineChars="200"/>
        <w:rPr>
          <w:rFonts w:hint="default" w:ascii="Times New Roman" w:hAnsi="Times New Roman" w:eastAsia="仿宋_GB2312" w:cs="Times New Roman"/>
          <w:iCs/>
          <w:color w:val="000000"/>
          <w:sz w:val="32"/>
          <w:szCs w:val="32"/>
        </w:rPr>
      </w:pPr>
      <w:r>
        <w:rPr>
          <w:rFonts w:hint="eastAsia" w:ascii="Times New Roman" w:hAnsi="Times New Roman" w:eastAsia="仿宋_GB2312" w:cs="Times New Roman"/>
          <w:iCs/>
          <w:color w:val="000000"/>
          <w:sz w:val="32"/>
          <w:szCs w:val="32"/>
          <w:lang w:val="en-US" w:eastAsia="zh-CN"/>
        </w:rPr>
        <w:t>2</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既有住宅在采光、通风等性能方面不达标的问题。</w:t>
      </w:r>
    </w:p>
    <w:p w14:paraId="4768FD8A">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07D60ABE">
      <w:pPr>
        <w:spacing w:line="360" w:lineRule="auto"/>
        <w:ind w:firstLine="63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物业</w:t>
      </w:r>
      <w:r>
        <w:rPr>
          <w:rFonts w:hint="default" w:ascii="Times New Roman" w:hAnsi="Times New Roman" w:eastAsia="仿宋_GB2312" w:cs="Times New Roman"/>
          <w:spacing w:val="-1"/>
          <w:sz w:val="32"/>
          <w:szCs w:val="32"/>
        </w:rPr>
        <w:t>了解情况并调取相关资料、人工查看。</w:t>
      </w:r>
    </w:p>
    <w:p w14:paraId="1585A759">
      <w:pPr>
        <w:spacing w:line="360" w:lineRule="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【示范案例】</w:t>
      </w:r>
    </w:p>
    <w:p w14:paraId="7DB4815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spacing w:val="2"/>
          <w:sz w:val="32"/>
          <w:szCs w:val="32"/>
        </w:rPr>
      </w:pPr>
    </w:p>
    <w:p w14:paraId="13112AC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spacing w:val="1"/>
          <w:sz w:val="32"/>
          <w:szCs w:val="32"/>
        </w:rPr>
      </w:pPr>
      <w:r>
        <w:rPr>
          <w:rFonts w:hint="default" w:ascii="Times New Roman" w:hAnsi="Times New Roman" w:eastAsia="仿宋_GB2312" w:cs="Times New Roman"/>
          <w:b/>
          <w:bCs/>
          <w:spacing w:val="2"/>
          <w:sz w:val="32"/>
          <w:szCs w:val="32"/>
        </w:rPr>
        <w:t>___</w:t>
      </w:r>
      <w:r>
        <w:rPr>
          <w:rFonts w:hint="default" w:ascii="Times New Roman" w:hAnsi="Times New Roman" w:eastAsia="仿宋_GB2312" w:cs="Times New Roman"/>
          <w:b/>
          <w:bCs/>
          <w:spacing w:val="1"/>
          <w:sz w:val="32"/>
          <w:szCs w:val="32"/>
        </w:rPr>
        <w:t>__社区住房维度具体问题</w:t>
      </w:r>
    </w:p>
    <w:p w14:paraId="0DA4EA9C">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rPr>
      </w:pPr>
    </w:p>
    <w:tbl>
      <w:tblPr>
        <w:tblStyle w:val="57"/>
        <w:tblW w:w="749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21"/>
        <w:gridCol w:w="4478"/>
      </w:tblGrid>
      <w:tr w14:paraId="2DAC2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 w:hRule="atLeast"/>
          <w:jc w:val="center"/>
        </w:trPr>
        <w:tc>
          <w:tcPr>
            <w:tcW w:w="3021" w:type="dxa"/>
            <w:vAlign w:val="center"/>
          </w:tcPr>
          <w:p w14:paraId="394257D8">
            <w:pPr>
              <w:spacing w:line="240" w:lineRule="auto"/>
              <w:jc w:val="center"/>
              <w:rPr>
                <w:rFonts w:hint="default" w:ascii="Times New Roman" w:hAnsi="Times New Roman" w:eastAsia="华文仿宋" w:cs="Times New Roman"/>
                <w:b/>
                <w:bCs/>
                <w:sz w:val="24"/>
                <w:szCs w:val="24"/>
              </w:rPr>
            </w:pPr>
            <w:r>
              <w:rPr>
                <w:rFonts w:hint="default" w:ascii="Times New Roman" w:hAnsi="Times New Roman" w:eastAsia="华文仿宋" w:cs="Times New Roman"/>
                <w:b/>
                <w:bCs/>
                <w:spacing w:val="-12"/>
                <w:sz w:val="24"/>
                <w:szCs w:val="24"/>
              </w:rPr>
              <w:t>问</w:t>
            </w:r>
            <w:r>
              <w:rPr>
                <w:rFonts w:hint="default" w:ascii="Times New Roman" w:hAnsi="Times New Roman" w:eastAsia="华文仿宋" w:cs="Times New Roman"/>
                <w:b/>
                <w:bCs/>
                <w:spacing w:val="-11"/>
                <w:sz w:val="24"/>
                <w:szCs w:val="24"/>
              </w:rPr>
              <w:t>题</w:t>
            </w:r>
          </w:p>
        </w:tc>
        <w:tc>
          <w:tcPr>
            <w:tcW w:w="4478" w:type="dxa"/>
            <w:vAlign w:val="center"/>
          </w:tcPr>
          <w:p w14:paraId="12BD6C96">
            <w:pPr>
              <w:spacing w:line="240" w:lineRule="auto"/>
              <w:jc w:val="center"/>
              <w:rPr>
                <w:rFonts w:hint="default" w:ascii="Times New Roman" w:hAnsi="Times New Roman" w:eastAsia="华文仿宋" w:cs="Times New Roman"/>
                <w:b/>
                <w:bCs/>
                <w:sz w:val="24"/>
                <w:szCs w:val="24"/>
              </w:rPr>
            </w:pPr>
            <w:r>
              <w:rPr>
                <w:rFonts w:hint="default" w:ascii="Times New Roman" w:hAnsi="Times New Roman" w:eastAsia="华文仿宋" w:cs="Times New Roman"/>
                <w:b/>
                <w:bCs/>
                <w:spacing w:val="-6"/>
                <w:sz w:val="24"/>
                <w:szCs w:val="24"/>
              </w:rPr>
              <w:t>照片</w:t>
            </w:r>
          </w:p>
        </w:tc>
      </w:tr>
      <w:tr w14:paraId="132FA3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6" w:hRule="atLeast"/>
          <w:jc w:val="center"/>
        </w:trPr>
        <w:tc>
          <w:tcPr>
            <w:tcW w:w="3021" w:type="dxa"/>
            <w:vAlign w:val="center"/>
          </w:tcPr>
          <w:p w14:paraId="785F33D8">
            <w:pPr>
              <w:spacing w:line="240" w:lineRule="auto"/>
              <w:ind w:firstLine="12"/>
              <w:jc w:val="center"/>
              <w:rPr>
                <w:rFonts w:hint="default" w:ascii="Times New Roman" w:hAnsi="Times New Roman" w:eastAsia="华文仿宋" w:cs="Times New Roman"/>
                <w:sz w:val="24"/>
                <w:szCs w:val="24"/>
              </w:rPr>
            </w:pPr>
            <w:r>
              <w:rPr>
                <w:rFonts w:hint="default" w:ascii="Times New Roman" w:hAnsi="Times New Roman" w:eastAsia="华文仿宋" w:cs="Times New Roman"/>
                <w:spacing w:val="9"/>
                <w:sz w:val="24"/>
                <w:szCs w:val="24"/>
              </w:rPr>
              <w:t>1</w:t>
            </w:r>
            <w:r>
              <w:rPr>
                <w:rFonts w:hint="default" w:ascii="Times New Roman" w:hAnsi="Times New Roman" w:eastAsia="华文仿宋" w:cs="Times New Roman"/>
                <w:spacing w:val="8"/>
                <w:sz w:val="24"/>
                <w:szCs w:val="24"/>
              </w:rPr>
              <w:t>.*号楼*层没有独立</w:t>
            </w:r>
            <w:r>
              <w:rPr>
                <w:rFonts w:hint="default" w:ascii="Times New Roman" w:hAnsi="Times New Roman" w:eastAsia="华文仿宋" w:cs="Times New Roman"/>
                <w:spacing w:val="17"/>
                <w:sz w:val="24"/>
                <w:szCs w:val="24"/>
              </w:rPr>
              <w:t>厨</w:t>
            </w:r>
            <w:r>
              <w:rPr>
                <w:rFonts w:hint="default" w:ascii="Times New Roman" w:hAnsi="Times New Roman" w:eastAsia="华文仿宋" w:cs="Times New Roman"/>
                <w:spacing w:val="11"/>
                <w:sz w:val="24"/>
                <w:szCs w:val="24"/>
              </w:rPr>
              <w:t>房、卫生间等基本功</w:t>
            </w:r>
            <w:r>
              <w:rPr>
                <w:rFonts w:hint="default" w:ascii="Times New Roman" w:hAnsi="Times New Roman" w:eastAsia="华文仿宋" w:cs="Times New Roman"/>
                <w:spacing w:val="-10"/>
                <w:sz w:val="24"/>
                <w:szCs w:val="24"/>
              </w:rPr>
              <w:t>能空间。</w:t>
            </w:r>
          </w:p>
        </w:tc>
        <w:tc>
          <w:tcPr>
            <w:tcW w:w="4478" w:type="dxa"/>
            <w:vAlign w:val="center"/>
          </w:tcPr>
          <w:p w14:paraId="26B3621F">
            <w:pPr>
              <w:spacing w:line="240" w:lineRule="auto"/>
              <w:ind w:firstLine="726"/>
              <w:jc w:val="both"/>
              <w:textAlignment w:val="center"/>
              <w:rPr>
                <w:rFonts w:hint="default" w:ascii="Times New Roman" w:hAnsi="Times New Roman" w:eastAsia="华文仿宋" w:cs="Times New Roman"/>
                <w:sz w:val="24"/>
                <w:szCs w:val="24"/>
              </w:rPr>
            </w:pPr>
            <w:r>
              <w:rPr>
                <w:rFonts w:hint="default" w:ascii="Times New Roman" w:hAnsi="Times New Roman" w:eastAsia="华文仿宋" w:cs="Times New Roman"/>
                <w:sz w:val="24"/>
                <w:szCs w:val="24"/>
              </w:rPr>
              <w:drawing>
                <wp:inline distT="0" distB="0" distL="0" distR="0">
                  <wp:extent cx="2028825" cy="2038350"/>
                  <wp:effectExtent l="0" t="0" r="9525"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a:picLocks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2028825" cy="2038350"/>
                          </a:xfrm>
                          <a:prstGeom prst="rect">
                            <a:avLst/>
                          </a:prstGeom>
                          <a:noFill/>
                          <a:ln>
                            <a:noFill/>
                          </a:ln>
                        </pic:spPr>
                      </pic:pic>
                    </a:graphicData>
                  </a:graphic>
                </wp:inline>
              </w:drawing>
            </w:r>
          </w:p>
        </w:tc>
      </w:tr>
      <w:tr w14:paraId="1C39E6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0" w:hRule="atLeast"/>
          <w:jc w:val="center"/>
        </w:trPr>
        <w:tc>
          <w:tcPr>
            <w:tcW w:w="3021" w:type="dxa"/>
            <w:vAlign w:val="center"/>
          </w:tcPr>
          <w:p w14:paraId="47C64065">
            <w:pPr>
              <w:spacing w:line="240" w:lineRule="auto"/>
              <w:ind w:hanging="10"/>
              <w:jc w:val="center"/>
              <w:rPr>
                <w:rFonts w:hint="default" w:ascii="Times New Roman" w:hAnsi="Times New Roman" w:eastAsia="华文仿宋" w:cs="Times New Roman"/>
                <w:sz w:val="24"/>
                <w:szCs w:val="24"/>
              </w:rPr>
            </w:pPr>
            <w:r>
              <w:rPr>
                <w:rFonts w:hint="default" w:ascii="Times New Roman" w:hAnsi="Times New Roman" w:eastAsia="华文仿宋" w:cs="Times New Roman"/>
                <w:spacing w:val="-6"/>
                <w:sz w:val="24"/>
                <w:szCs w:val="24"/>
              </w:rPr>
              <w:t>2</w:t>
            </w:r>
            <w:r>
              <w:rPr>
                <w:rFonts w:hint="default" w:ascii="Times New Roman" w:hAnsi="Times New Roman" w:eastAsia="华文仿宋" w:cs="Times New Roman"/>
                <w:spacing w:val="-5"/>
                <w:sz w:val="24"/>
                <w:szCs w:val="24"/>
              </w:rPr>
              <w:t>.*号楼住宅在采光、</w:t>
            </w:r>
            <w:r>
              <w:rPr>
                <w:rFonts w:hint="default" w:ascii="Times New Roman" w:hAnsi="Times New Roman" w:eastAsia="华文仿宋" w:cs="Times New Roman"/>
                <w:spacing w:val="11"/>
                <w:sz w:val="24"/>
                <w:szCs w:val="24"/>
              </w:rPr>
              <w:t>通风、隔声等性能方面</w:t>
            </w:r>
            <w:r>
              <w:rPr>
                <w:rFonts w:hint="default" w:ascii="Times New Roman" w:hAnsi="Times New Roman" w:eastAsia="华文仿宋" w:cs="Times New Roman"/>
                <w:spacing w:val="-11"/>
                <w:sz w:val="24"/>
                <w:szCs w:val="24"/>
              </w:rPr>
              <w:t>不</w:t>
            </w:r>
            <w:r>
              <w:rPr>
                <w:rFonts w:hint="default" w:ascii="Times New Roman" w:hAnsi="Times New Roman" w:eastAsia="华文仿宋" w:cs="Times New Roman"/>
                <w:spacing w:val="-6"/>
                <w:sz w:val="24"/>
                <w:szCs w:val="24"/>
              </w:rPr>
              <w:t>达标的问题。</w:t>
            </w:r>
          </w:p>
        </w:tc>
        <w:tc>
          <w:tcPr>
            <w:tcW w:w="4478" w:type="dxa"/>
            <w:vAlign w:val="center"/>
          </w:tcPr>
          <w:p w14:paraId="45D6B068">
            <w:pPr>
              <w:spacing w:line="240" w:lineRule="auto"/>
              <w:ind w:firstLine="666"/>
              <w:jc w:val="both"/>
              <w:textAlignment w:val="center"/>
              <w:rPr>
                <w:rFonts w:hint="default" w:ascii="Times New Roman" w:hAnsi="Times New Roman" w:eastAsia="华文仿宋" w:cs="Times New Roman"/>
                <w:sz w:val="24"/>
                <w:szCs w:val="24"/>
              </w:rPr>
            </w:pPr>
          </w:p>
          <w:p w14:paraId="2DB8ACFA">
            <w:pPr>
              <w:spacing w:line="240" w:lineRule="auto"/>
              <w:ind w:firstLine="666"/>
              <w:jc w:val="both"/>
              <w:textAlignment w:val="center"/>
              <w:rPr>
                <w:rFonts w:hint="default" w:ascii="Times New Roman" w:hAnsi="Times New Roman" w:eastAsia="华文仿宋" w:cs="Times New Roman"/>
                <w:sz w:val="24"/>
                <w:szCs w:val="24"/>
              </w:rPr>
            </w:pPr>
            <w:r>
              <w:rPr>
                <w:rFonts w:hint="default" w:ascii="Times New Roman" w:hAnsi="Times New Roman" w:eastAsia="华文仿宋" w:cs="Times New Roman"/>
                <w:sz w:val="24"/>
                <w:szCs w:val="24"/>
              </w:rPr>
              <w:drawing>
                <wp:inline distT="0" distB="0" distL="0" distR="0">
                  <wp:extent cx="2105025" cy="2143125"/>
                  <wp:effectExtent l="0" t="0" r="9525" b="9525"/>
                  <wp:docPr id="17" name="IM 17"/>
                  <wp:cNvGraphicFramePr/>
                  <a:graphic xmlns:a="http://schemas.openxmlformats.org/drawingml/2006/main">
                    <a:graphicData uri="http://schemas.openxmlformats.org/drawingml/2006/picture">
                      <pic:pic xmlns:pic="http://schemas.openxmlformats.org/drawingml/2006/picture">
                        <pic:nvPicPr>
                          <pic:cNvPr id="17" name="IM 17"/>
                          <pic:cNvPicPr>
                            <a:picLocks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2105025" cy="2143125"/>
                          </a:xfrm>
                          <a:prstGeom prst="rect">
                            <a:avLst/>
                          </a:prstGeom>
                          <a:noFill/>
                          <a:ln>
                            <a:noFill/>
                          </a:ln>
                        </pic:spPr>
                      </pic:pic>
                    </a:graphicData>
                  </a:graphic>
                </wp:inline>
              </w:drawing>
            </w:r>
          </w:p>
        </w:tc>
      </w:tr>
    </w:tbl>
    <w:p w14:paraId="77A92F37">
      <w:pPr>
        <w:pStyle w:val="2"/>
        <w:ind w:left="0" w:leftChars="0" w:firstLine="0" w:firstLineChars="0"/>
        <w:rPr>
          <w:rFonts w:hint="default" w:ascii="Times New Roman" w:hAnsi="Times New Roman" w:cs="Times New Roman"/>
          <w:sz w:val="24"/>
          <w:szCs w:val="24"/>
        </w:rPr>
      </w:pPr>
    </w:p>
    <w:p w14:paraId="5934ADF3">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6"/>
          <w:sz w:val="32"/>
          <w:szCs w:val="32"/>
        </w:rPr>
        <w:t>指标6</w:t>
      </w:r>
      <w:r>
        <w:rPr>
          <w:rFonts w:hint="default" w:ascii="Times New Roman" w:hAnsi="Times New Roman" w:eastAsia="仿宋_GB2312" w:cs="Times New Roman"/>
          <w:b/>
          <w:bCs/>
          <w:spacing w:val="3"/>
          <w:sz w:val="32"/>
          <w:szCs w:val="32"/>
        </w:rPr>
        <w:t>：存在管线管道破损的住宅数量（栋）</w:t>
      </w:r>
    </w:p>
    <w:p w14:paraId="36E01230">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0708A25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查找既有住宅中给水、排水、供热、供电、通信等管线管道和设施设备老化破损、跑冒滴漏、供给不足、管道堵塞等问题。</w:t>
      </w:r>
    </w:p>
    <w:p w14:paraId="713FD6C5">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42A770B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lang w:val="en-US" w:eastAsia="zh-CN"/>
        </w:rPr>
        <w:t>1</w:t>
      </w:r>
      <w:r>
        <w:rPr>
          <w:rFonts w:hint="default"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给水管线跑冒滴漏、排水管线老化破损、渗漏堵塞的情况。</w:t>
      </w:r>
    </w:p>
    <w:p w14:paraId="0C0A9D4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lang w:val="en-US" w:eastAsia="zh-CN"/>
        </w:rPr>
        <w:t>2</w:t>
      </w:r>
      <w:r>
        <w:rPr>
          <w:rFonts w:hint="default"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因供暖管道漏水、压力不足等原因导致采暖季温度不达标问题。</w:t>
      </w:r>
    </w:p>
    <w:p w14:paraId="51691AD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lang w:val="en-US" w:eastAsia="zh-CN"/>
        </w:rPr>
        <w:t>3</w:t>
      </w:r>
      <w:r>
        <w:rPr>
          <w:rFonts w:hint="default"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电力电信管线老化破损及裸露、私搭乱接。</w:t>
      </w:r>
    </w:p>
    <w:p w14:paraId="7ACFB951">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5BB1D21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物业了解情况并调取相关资料、人工查看、入户了解情况、专业检测机构进行检测等。</w:t>
      </w:r>
    </w:p>
    <w:p w14:paraId="720D2CD3">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【示范案例】</w:t>
      </w:r>
    </w:p>
    <w:p w14:paraId="7FFC1D9E">
      <w:pPr>
        <w:pStyle w:val="2"/>
        <w:rPr>
          <w:rFonts w:hint="default" w:ascii="Times New Roman" w:hAnsi="Times New Roman" w:cs="Times New Roman"/>
        </w:rPr>
      </w:pPr>
    </w:p>
    <w:p w14:paraId="0AEF602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pacing w:val="1"/>
          <w:sz w:val="32"/>
          <w:szCs w:val="32"/>
        </w:rPr>
      </w:pPr>
      <w:r>
        <w:rPr>
          <w:rFonts w:hint="default" w:ascii="Times New Roman" w:hAnsi="Times New Roman" w:eastAsia="仿宋_GB2312" w:cs="Times New Roman"/>
          <w:b/>
          <w:bCs/>
          <w:spacing w:val="2"/>
          <w:sz w:val="32"/>
          <w:szCs w:val="32"/>
        </w:rPr>
        <w:t>___</w:t>
      </w:r>
      <w:r>
        <w:rPr>
          <w:rFonts w:hint="default" w:ascii="Times New Roman" w:hAnsi="Times New Roman" w:eastAsia="仿宋_GB2312" w:cs="Times New Roman"/>
          <w:b/>
          <w:bCs/>
          <w:spacing w:val="1"/>
          <w:sz w:val="32"/>
          <w:szCs w:val="32"/>
        </w:rPr>
        <w:t>__社区住房维度具体问题</w:t>
      </w:r>
    </w:p>
    <w:p w14:paraId="3B13317B">
      <w:pPr>
        <w:pStyle w:val="2"/>
        <w:rPr>
          <w:rFonts w:hint="default" w:ascii="Times New Roman" w:hAnsi="Times New Roman" w:cs="Times New Roman"/>
        </w:rPr>
      </w:pPr>
    </w:p>
    <w:tbl>
      <w:tblPr>
        <w:tblStyle w:val="57"/>
        <w:tblW w:w="721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14"/>
        <w:gridCol w:w="2741"/>
        <w:gridCol w:w="2864"/>
      </w:tblGrid>
      <w:tr w14:paraId="69E699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 w:hRule="atLeast"/>
          <w:jc w:val="center"/>
        </w:trPr>
        <w:tc>
          <w:tcPr>
            <w:tcW w:w="1614" w:type="dxa"/>
            <w:vAlign w:val="center"/>
          </w:tcPr>
          <w:p w14:paraId="36E01A1F">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12"/>
                <w:sz w:val="24"/>
                <w:szCs w:val="24"/>
              </w:rPr>
              <w:t>问</w:t>
            </w:r>
            <w:r>
              <w:rPr>
                <w:rFonts w:hint="default" w:ascii="Times New Roman" w:hAnsi="Times New Roman" w:eastAsia="仿宋" w:cs="Times New Roman"/>
                <w:b/>
                <w:bCs/>
                <w:spacing w:val="-11"/>
                <w:sz w:val="24"/>
                <w:szCs w:val="24"/>
              </w:rPr>
              <w:t>题</w:t>
            </w:r>
          </w:p>
        </w:tc>
        <w:tc>
          <w:tcPr>
            <w:tcW w:w="5605" w:type="dxa"/>
            <w:gridSpan w:val="2"/>
            <w:vAlign w:val="center"/>
          </w:tcPr>
          <w:p w14:paraId="4B7B38A3">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6"/>
                <w:sz w:val="24"/>
                <w:szCs w:val="24"/>
              </w:rPr>
              <w:t>照片</w:t>
            </w:r>
          </w:p>
        </w:tc>
      </w:tr>
      <w:tr w14:paraId="463EE0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7" w:hRule="atLeast"/>
          <w:jc w:val="center"/>
        </w:trPr>
        <w:tc>
          <w:tcPr>
            <w:tcW w:w="1614" w:type="dxa"/>
            <w:vAlign w:val="center"/>
          </w:tcPr>
          <w:p w14:paraId="40FF5FE4">
            <w:pPr>
              <w:spacing w:line="240" w:lineRule="auto"/>
              <w:ind w:firstLine="12"/>
              <w:jc w:val="center"/>
              <w:rPr>
                <w:rFonts w:hint="default" w:ascii="Times New Roman" w:hAnsi="Times New Roman" w:eastAsia="仿宋" w:cs="Times New Roman"/>
                <w:sz w:val="24"/>
                <w:szCs w:val="24"/>
              </w:rPr>
            </w:pPr>
            <w:r>
              <w:rPr>
                <w:rFonts w:hint="default" w:ascii="Times New Roman" w:hAnsi="Times New Roman" w:eastAsia="仿宋" w:cs="Times New Roman"/>
                <w:spacing w:val="1"/>
                <w:sz w:val="24"/>
                <w:szCs w:val="24"/>
              </w:rPr>
              <w:t>1.*号楼</w:t>
            </w:r>
            <w:r>
              <w:rPr>
                <w:rFonts w:hint="default" w:ascii="Times New Roman" w:hAnsi="Times New Roman" w:eastAsia="仿宋" w:cs="Times New Roman"/>
                <w:sz w:val="24"/>
                <w:szCs w:val="24"/>
              </w:rPr>
              <w:t>*层*</w:t>
            </w:r>
            <w:r>
              <w:rPr>
                <w:rFonts w:hint="default" w:ascii="Times New Roman" w:hAnsi="Times New Roman" w:eastAsia="仿宋" w:cs="Times New Roman"/>
                <w:spacing w:val="29"/>
                <w:sz w:val="24"/>
                <w:szCs w:val="24"/>
              </w:rPr>
              <w:t>户</w:t>
            </w:r>
            <w:r>
              <w:rPr>
                <w:rFonts w:hint="default" w:ascii="Times New Roman" w:hAnsi="Times New Roman" w:eastAsia="仿宋" w:cs="Times New Roman"/>
                <w:spacing w:val="26"/>
                <w:sz w:val="24"/>
                <w:szCs w:val="24"/>
              </w:rPr>
              <w:t>给排水管</w:t>
            </w:r>
            <w:r>
              <w:rPr>
                <w:rFonts w:hint="default" w:ascii="Times New Roman" w:hAnsi="Times New Roman" w:eastAsia="仿宋" w:cs="Times New Roman"/>
                <w:spacing w:val="-10"/>
                <w:sz w:val="24"/>
                <w:szCs w:val="24"/>
              </w:rPr>
              <w:t>线</w:t>
            </w:r>
            <w:r>
              <w:rPr>
                <w:rFonts w:hint="default" w:ascii="Times New Roman" w:hAnsi="Times New Roman" w:eastAsia="仿宋" w:cs="Times New Roman"/>
                <w:spacing w:val="-5"/>
                <w:sz w:val="24"/>
                <w:szCs w:val="24"/>
              </w:rPr>
              <w:t>跑冒滴漏。</w:t>
            </w:r>
          </w:p>
        </w:tc>
        <w:tc>
          <w:tcPr>
            <w:tcW w:w="5605" w:type="dxa"/>
            <w:gridSpan w:val="2"/>
            <w:vAlign w:val="center"/>
          </w:tcPr>
          <w:p w14:paraId="0A59B02C">
            <w:pPr>
              <w:spacing w:line="240" w:lineRule="auto"/>
              <w:ind w:left="0" w:leftChars="0" w:right="0" w:rightChars="0"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3307080" cy="1807845"/>
                  <wp:effectExtent l="0" t="0" r="7620" b="1905"/>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a:picLocks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3307080" cy="1807845"/>
                          </a:xfrm>
                          <a:prstGeom prst="rect">
                            <a:avLst/>
                          </a:prstGeom>
                          <a:noFill/>
                          <a:ln>
                            <a:noFill/>
                          </a:ln>
                        </pic:spPr>
                      </pic:pic>
                    </a:graphicData>
                  </a:graphic>
                </wp:inline>
              </w:drawing>
            </w:r>
          </w:p>
        </w:tc>
      </w:tr>
      <w:tr w14:paraId="6C1953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1" w:hRule="atLeast"/>
          <w:jc w:val="center"/>
        </w:trPr>
        <w:tc>
          <w:tcPr>
            <w:tcW w:w="1614" w:type="dxa"/>
            <w:vAlign w:val="center"/>
          </w:tcPr>
          <w:p w14:paraId="7886B152">
            <w:pPr>
              <w:spacing w:line="240" w:lineRule="auto"/>
              <w:ind w:hanging="5"/>
              <w:jc w:val="center"/>
              <w:rPr>
                <w:rFonts w:hint="default" w:ascii="Times New Roman" w:hAnsi="Times New Roman" w:eastAsia="仿宋" w:cs="Times New Roman"/>
                <w:sz w:val="24"/>
                <w:szCs w:val="24"/>
              </w:rPr>
            </w:pPr>
            <w:r>
              <w:rPr>
                <w:rFonts w:hint="default" w:ascii="Times New Roman" w:hAnsi="Times New Roman" w:eastAsia="仿宋" w:cs="Times New Roman"/>
                <w:spacing w:val="-25"/>
                <w:sz w:val="24"/>
                <w:szCs w:val="24"/>
              </w:rPr>
              <w:t>2</w:t>
            </w:r>
            <w:r>
              <w:rPr>
                <w:rFonts w:hint="default" w:ascii="Times New Roman" w:hAnsi="Times New Roman" w:eastAsia="仿宋" w:cs="Times New Roman"/>
                <w:spacing w:val="-23"/>
                <w:sz w:val="24"/>
                <w:szCs w:val="24"/>
              </w:rPr>
              <w:t>.*号楼电</w:t>
            </w:r>
            <w:r>
              <w:rPr>
                <w:rFonts w:hint="default" w:ascii="Times New Roman" w:hAnsi="Times New Roman" w:eastAsia="仿宋" w:cs="Times New Roman"/>
                <w:spacing w:val="-7"/>
                <w:sz w:val="24"/>
                <w:szCs w:val="24"/>
              </w:rPr>
              <w:t>信</w:t>
            </w:r>
            <w:r>
              <w:rPr>
                <w:rFonts w:hint="default" w:ascii="Times New Roman" w:hAnsi="Times New Roman" w:eastAsia="仿宋" w:cs="Times New Roman"/>
                <w:spacing w:val="-4"/>
                <w:sz w:val="24"/>
                <w:szCs w:val="24"/>
              </w:rPr>
              <w:t>管线裸露、私</w:t>
            </w:r>
            <w:r>
              <w:rPr>
                <w:rFonts w:hint="default" w:ascii="Times New Roman" w:hAnsi="Times New Roman" w:eastAsia="仿宋" w:cs="Times New Roman"/>
                <w:spacing w:val="-3"/>
                <w:sz w:val="24"/>
                <w:szCs w:val="24"/>
              </w:rPr>
              <w:t>搭乱接。</w:t>
            </w:r>
          </w:p>
        </w:tc>
        <w:tc>
          <w:tcPr>
            <w:tcW w:w="2741" w:type="dxa"/>
            <w:tcBorders>
              <w:right w:val="nil"/>
            </w:tcBorders>
            <w:vAlign w:val="center"/>
          </w:tcPr>
          <w:p w14:paraId="7B53D0A5">
            <w:pPr>
              <w:spacing w:line="240" w:lineRule="auto"/>
              <w:ind w:left="0" w:leftChars="0" w:right="0" w:rightChars="0"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1637665" cy="1914525"/>
                  <wp:effectExtent l="0" t="0" r="635" b="9525"/>
                  <wp:docPr id="19" name="IM 19"/>
                  <wp:cNvGraphicFramePr/>
                  <a:graphic xmlns:a="http://schemas.openxmlformats.org/drawingml/2006/main">
                    <a:graphicData uri="http://schemas.openxmlformats.org/drawingml/2006/picture">
                      <pic:pic xmlns:pic="http://schemas.openxmlformats.org/drawingml/2006/picture">
                        <pic:nvPicPr>
                          <pic:cNvPr id="19" name="IM 19"/>
                          <pic:cNvPicPr>
                            <a:picLocks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1637665" cy="1914525"/>
                          </a:xfrm>
                          <a:prstGeom prst="rect">
                            <a:avLst/>
                          </a:prstGeom>
                          <a:noFill/>
                          <a:ln>
                            <a:noFill/>
                          </a:ln>
                        </pic:spPr>
                      </pic:pic>
                    </a:graphicData>
                  </a:graphic>
                </wp:inline>
              </w:drawing>
            </w:r>
          </w:p>
        </w:tc>
        <w:tc>
          <w:tcPr>
            <w:tcW w:w="2864" w:type="dxa"/>
            <w:tcBorders>
              <w:left w:val="nil"/>
            </w:tcBorders>
            <w:vAlign w:val="center"/>
          </w:tcPr>
          <w:p w14:paraId="2DC5E4B0">
            <w:pPr>
              <w:spacing w:line="240" w:lineRule="auto"/>
              <w:ind w:left="0" w:leftChars="0" w:right="0" w:rightChars="0"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1692910" cy="1906905"/>
                  <wp:effectExtent l="0" t="0" r="2540" b="17145"/>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a:picLocks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1692910" cy="1906905"/>
                          </a:xfrm>
                          <a:prstGeom prst="rect">
                            <a:avLst/>
                          </a:prstGeom>
                          <a:noFill/>
                          <a:ln>
                            <a:noFill/>
                          </a:ln>
                        </pic:spPr>
                      </pic:pic>
                    </a:graphicData>
                  </a:graphic>
                </wp:inline>
              </w:drawing>
            </w:r>
          </w:p>
        </w:tc>
      </w:tr>
    </w:tbl>
    <w:p w14:paraId="744E42F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2B60206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指标</w:t>
      </w:r>
      <w:r>
        <w:rPr>
          <w:rFonts w:hint="default" w:ascii="Times New Roman" w:hAnsi="Times New Roman" w:eastAsia="仿宋_GB2312" w:cs="Times New Roman"/>
          <w:b/>
          <w:bCs/>
          <w:spacing w:val="2"/>
          <w:sz w:val="32"/>
          <w:szCs w:val="32"/>
        </w:rPr>
        <w:t>7：入户水质水压不达标的住宅数量（栋）</w:t>
      </w:r>
    </w:p>
    <w:p w14:paraId="4BBA906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2AAA26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查找既有住宅中入户水质不满足《生活饮用水卫生标准》要求、居民用水水压不足的问题。</w:t>
      </w:r>
    </w:p>
    <w:p w14:paraId="327D161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77E69F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w:t>
      </w:r>
      <w:r>
        <w:rPr>
          <w:rFonts w:hint="default"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既有住宅的供水机房、水箱（池）等供水设施不符合卫生和安全规范等导致户内龙头水质污染，经专业机构检测不满足生活饮用水水质标准。</w:t>
      </w:r>
    </w:p>
    <w:p w14:paraId="18F2C5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w:t>
      </w:r>
      <w:r>
        <w:rPr>
          <w:rFonts w:hint="default"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管道使用年限较久局部漏水，水中杂质、水质硬度大导致管道结垢堵塞，管网末梢用户增多，管道未及时升级改造，水流的实际流量大于计划流量，引起小区供水水压不足，出现用水高峰期龙头水流较小甚至停水、水流忽大忽小、白天停水夜间有水等现象。</w:t>
      </w:r>
    </w:p>
    <w:p w14:paraId="4255E2D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03322E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物业了解情况并调取相关资料、入户了解情况、专业检测机构进行检测等。</w:t>
      </w:r>
    </w:p>
    <w:p w14:paraId="1539429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【示范案例】</w:t>
      </w:r>
    </w:p>
    <w:p w14:paraId="49C8DDE5">
      <w:pPr>
        <w:pStyle w:val="2"/>
        <w:rPr>
          <w:rFonts w:hint="default" w:ascii="Times New Roman" w:hAnsi="Times New Roman" w:cs="Times New Roman"/>
        </w:rPr>
      </w:pPr>
    </w:p>
    <w:p w14:paraId="31D65FF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spacing w:val="1"/>
          <w:sz w:val="32"/>
          <w:szCs w:val="32"/>
        </w:rPr>
      </w:pPr>
      <w:r>
        <w:rPr>
          <w:rFonts w:hint="default" w:ascii="Times New Roman" w:hAnsi="Times New Roman" w:eastAsia="仿宋_GB2312" w:cs="Times New Roman"/>
          <w:b/>
          <w:bCs/>
          <w:spacing w:val="2"/>
          <w:sz w:val="32"/>
          <w:szCs w:val="32"/>
        </w:rPr>
        <w:t>___</w:t>
      </w:r>
      <w:r>
        <w:rPr>
          <w:rFonts w:hint="default" w:ascii="Times New Roman" w:hAnsi="Times New Roman" w:eastAsia="仿宋_GB2312" w:cs="Times New Roman"/>
          <w:b/>
          <w:bCs/>
          <w:spacing w:val="1"/>
          <w:sz w:val="32"/>
          <w:szCs w:val="32"/>
        </w:rPr>
        <w:t>__社区住房维度具体问题</w:t>
      </w:r>
    </w:p>
    <w:p w14:paraId="50F7FCDE">
      <w:pPr>
        <w:pStyle w:val="2"/>
        <w:rPr>
          <w:rFonts w:hint="default" w:ascii="Times New Roman" w:hAnsi="Times New Roman" w:cs="Times New Roman"/>
        </w:rPr>
      </w:pPr>
    </w:p>
    <w:tbl>
      <w:tblPr>
        <w:tblStyle w:val="57"/>
        <w:tblW w:w="665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0"/>
        <w:gridCol w:w="4529"/>
      </w:tblGrid>
      <w:tr w14:paraId="7798DE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2130" w:type="dxa"/>
            <w:vAlign w:val="center"/>
          </w:tcPr>
          <w:p w14:paraId="236EE6A7">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12"/>
                <w:sz w:val="24"/>
                <w:szCs w:val="24"/>
              </w:rPr>
              <w:t>问</w:t>
            </w:r>
            <w:r>
              <w:rPr>
                <w:rFonts w:hint="default" w:ascii="Times New Roman" w:hAnsi="Times New Roman" w:eastAsia="仿宋" w:cs="Times New Roman"/>
                <w:b/>
                <w:bCs/>
                <w:spacing w:val="-11"/>
                <w:sz w:val="24"/>
                <w:szCs w:val="24"/>
              </w:rPr>
              <w:t>题</w:t>
            </w:r>
          </w:p>
        </w:tc>
        <w:tc>
          <w:tcPr>
            <w:tcW w:w="4529" w:type="dxa"/>
            <w:vAlign w:val="center"/>
          </w:tcPr>
          <w:p w14:paraId="42CF56ED">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6"/>
                <w:sz w:val="24"/>
                <w:szCs w:val="24"/>
              </w:rPr>
              <w:t>照片</w:t>
            </w:r>
          </w:p>
        </w:tc>
      </w:tr>
      <w:tr w14:paraId="08624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1" w:hRule="atLeast"/>
          <w:jc w:val="center"/>
        </w:trPr>
        <w:tc>
          <w:tcPr>
            <w:tcW w:w="2130" w:type="dxa"/>
            <w:vAlign w:val="center"/>
          </w:tcPr>
          <w:p w14:paraId="63B90C86">
            <w:pPr>
              <w:spacing w:line="240" w:lineRule="auto"/>
              <w:ind w:firstLine="5"/>
              <w:jc w:val="center"/>
              <w:rPr>
                <w:rFonts w:hint="default" w:ascii="Times New Roman" w:hAnsi="Times New Roman" w:eastAsia="仿宋" w:cs="Times New Roman"/>
                <w:sz w:val="24"/>
                <w:szCs w:val="24"/>
              </w:rPr>
            </w:pPr>
            <w:r>
              <w:rPr>
                <w:rFonts w:hint="default" w:ascii="Times New Roman" w:hAnsi="Times New Roman" w:eastAsia="仿宋" w:cs="Times New Roman"/>
                <w:spacing w:val="24"/>
                <w:sz w:val="24"/>
                <w:szCs w:val="24"/>
              </w:rPr>
              <w:t>1</w:t>
            </w:r>
            <w:r>
              <w:rPr>
                <w:rFonts w:hint="default" w:ascii="Times New Roman" w:hAnsi="Times New Roman" w:eastAsia="仿宋" w:cs="Times New Roman"/>
                <w:spacing w:val="18"/>
                <w:sz w:val="24"/>
                <w:szCs w:val="24"/>
              </w:rPr>
              <w:t>.*号楼*层水压</w:t>
            </w:r>
            <w:r>
              <w:rPr>
                <w:rFonts w:hint="default" w:ascii="Times New Roman" w:hAnsi="Times New Roman" w:eastAsia="仿宋" w:cs="Times New Roman"/>
                <w:spacing w:val="-4"/>
                <w:sz w:val="24"/>
                <w:szCs w:val="24"/>
              </w:rPr>
              <w:t>不足、</w:t>
            </w:r>
            <w:r>
              <w:rPr>
                <w:rFonts w:hint="default" w:ascii="Times New Roman" w:hAnsi="Times New Roman" w:eastAsia="仿宋" w:cs="Times New Roman"/>
                <w:spacing w:val="-3"/>
                <w:sz w:val="24"/>
                <w:szCs w:val="24"/>
              </w:rPr>
              <w:t>水</w:t>
            </w:r>
            <w:r>
              <w:rPr>
                <w:rFonts w:hint="default" w:ascii="Times New Roman" w:hAnsi="Times New Roman" w:eastAsia="仿宋" w:cs="Times New Roman"/>
                <w:spacing w:val="-2"/>
                <w:sz w:val="24"/>
                <w:szCs w:val="24"/>
              </w:rPr>
              <w:t>流较小。</w:t>
            </w:r>
          </w:p>
        </w:tc>
        <w:tc>
          <w:tcPr>
            <w:tcW w:w="4529" w:type="dxa"/>
            <w:vAlign w:val="center"/>
          </w:tcPr>
          <w:p w14:paraId="387ED89F">
            <w:pPr>
              <w:spacing w:line="240" w:lineRule="auto"/>
              <w:ind w:left="0" w:leftChars="0" w:right="0" w:rightChars="0"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206625" cy="1787525"/>
                  <wp:effectExtent l="0" t="0" r="3175" b="3175"/>
                  <wp:docPr id="21" name="IM 21"/>
                  <wp:cNvGraphicFramePr/>
                  <a:graphic xmlns:a="http://schemas.openxmlformats.org/drawingml/2006/main">
                    <a:graphicData uri="http://schemas.openxmlformats.org/drawingml/2006/picture">
                      <pic:pic xmlns:pic="http://schemas.openxmlformats.org/drawingml/2006/picture">
                        <pic:nvPicPr>
                          <pic:cNvPr id="21" name="IM 21"/>
                          <pic:cNvPicPr>
                            <a:picLocks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2206625" cy="1787525"/>
                          </a:xfrm>
                          <a:prstGeom prst="rect">
                            <a:avLst/>
                          </a:prstGeom>
                          <a:noFill/>
                          <a:ln>
                            <a:noFill/>
                          </a:ln>
                        </pic:spPr>
                      </pic:pic>
                    </a:graphicData>
                  </a:graphic>
                </wp:inline>
              </w:drawing>
            </w:r>
          </w:p>
        </w:tc>
      </w:tr>
    </w:tbl>
    <w:p w14:paraId="7E8A3AAC">
      <w:pPr>
        <w:spacing w:line="360" w:lineRule="auto"/>
        <w:rPr>
          <w:rFonts w:hint="default" w:ascii="Times New Roman" w:hAnsi="Times New Roman" w:cs="Times New Roman"/>
          <w:sz w:val="24"/>
          <w:szCs w:val="24"/>
        </w:rPr>
      </w:pPr>
    </w:p>
    <w:p w14:paraId="74B2AB8F">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指标</w:t>
      </w:r>
      <w:r>
        <w:rPr>
          <w:rFonts w:hint="default" w:ascii="Times New Roman" w:hAnsi="Times New Roman" w:eastAsia="仿宋_GB2312" w:cs="Times New Roman"/>
          <w:b/>
          <w:bCs/>
          <w:spacing w:val="2"/>
          <w:sz w:val="32"/>
          <w:szCs w:val="32"/>
        </w:rPr>
        <w:t>8：需要进行适老化改造的住宅数量（栋）</w:t>
      </w:r>
    </w:p>
    <w:p w14:paraId="556D6FAE">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4022430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查找建成时未安装电梯的多层住宅中具备加装电梯条件、但尚未加装改造的问题。具备条件的，可按照《无障碍设计规范》、既有住宅适老化改造相关标准要求，查找住宅出入口、门厅等公用区域以及住宅户内适老设施建设短板。</w:t>
      </w:r>
    </w:p>
    <w:p w14:paraId="69DD778E">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076B54A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w:t>
      </w:r>
      <w:r>
        <w:rPr>
          <w:rFonts w:hint="default"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多层住宅中建成时未安装电梯，具备加装电梯条件但尚未进行加装改造。是否具备加装条件根据各城市相关要求进行判断确定。</w:t>
      </w:r>
    </w:p>
    <w:p w14:paraId="543426E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w:t>
      </w:r>
      <w:r>
        <w:rPr>
          <w:rFonts w:hint="default"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住宅单元出入口和通道未进行无障碍改造、地面防滑处理。</w:t>
      </w:r>
    </w:p>
    <w:p w14:paraId="4951AD9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3</w:t>
      </w:r>
      <w:r>
        <w:rPr>
          <w:rFonts w:hint="default"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楼梯间未沿墙加装扶手。</w:t>
      </w:r>
    </w:p>
    <w:p w14:paraId="08DBD67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4</w:t>
      </w:r>
      <w:r>
        <w:rPr>
          <w:rFonts w:hint="default"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纳入分散供养特困人员和建档立卡贫困人口范围的高龄、失能、残疾老年人等特殊困难老年人家庭未实施适老化改造。</w:t>
      </w:r>
    </w:p>
    <w:p w14:paraId="6853E6E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0588B69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物业了解情况并调取相关资料、人工查看、入户了解情况等。</w:t>
      </w:r>
    </w:p>
    <w:p w14:paraId="54E5B8A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【示范案例】</w:t>
      </w:r>
    </w:p>
    <w:p w14:paraId="2973D31E">
      <w:pPr>
        <w:pStyle w:val="2"/>
        <w:rPr>
          <w:rFonts w:hint="default" w:ascii="Times New Roman" w:hAnsi="Times New Roman" w:cs="Times New Roman"/>
        </w:rPr>
      </w:pPr>
    </w:p>
    <w:p w14:paraId="268495F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pacing w:val="1"/>
          <w:sz w:val="32"/>
          <w:szCs w:val="32"/>
        </w:rPr>
      </w:pPr>
      <w:r>
        <w:rPr>
          <w:rFonts w:hint="default" w:ascii="Times New Roman" w:hAnsi="Times New Roman" w:eastAsia="仿宋_GB2312" w:cs="Times New Roman"/>
          <w:b/>
          <w:bCs/>
          <w:spacing w:val="2"/>
          <w:sz w:val="32"/>
          <w:szCs w:val="32"/>
        </w:rPr>
        <w:t>___</w:t>
      </w:r>
      <w:r>
        <w:rPr>
          <w:rFonts w:hint="default" w:ascii="Times New Roman" w:hAnsi="Times New Roman" w:eastAsia="仿宋_GB2312" w:cs="Times New Roman"/>
          <w:b/>
          <w:bCs/>
          <w:spacing w:val="1"/>
          <w:sz w:val="32"/>
          <w:szCs w:val="32"/>
        </w:rPr>
        <w:t>__社区住房维度具体问题</w:t>
      </w:r>
    </w:p>
    <w:p w14:paraId="5794D8C0">
      <w:pPr>
        <w:pStyle w:val="2"/>
        <w:rPr>
          <w:rFonts w:hint="default" w:ascii="Times New Roman" w:hAnsi="Times New Roman" w:cs="Times New Roman"/>
        </w:rPr>
      </w:pPr>
    </w:p>
    <w:tbl>
      <w:tblPr>
        <w:tblStyle w:val="57"/>
        <w:tblW w:w="623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26"/>
        <w:gridCol w:w="3613"/>
      </w:tblGrid>
      <w:tr w14:paraId="3858E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jc w:val="center"/>
        </w:trPr>
        <w:tc>
          <w:tcPr>
            <w:tcW w:w="2626" w:type="dxa"/>
            <w:vAlign w:val="center"/>
          </w:tcPr>
          <w:p w14:paraId="2124219A">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12"/>
                <w:sz w:val="24"/>
                <w:szCs w:val="24"/>
              </w:rPr>
              <w:t>问</w:t>
            </w:r>
            <w:r>
              <w:rPr>
                <w:rFonts w:hint="default" w:ascii="Times New Roman" w:hAnsi="Times New Roman" w:eastAsia="仿宋" w:cs="Times New Roman"/>
                <w:b/>
                <w:bCs/>
                <w:spacing w:val="-11"/>
                <w:sz w:val="24"/>
                <w:szCs w:val="24"/>
              </w:rPr>
              <w:t>题</w:t>
            </w:r>
          </w:p>
        </w:tc>
        <w:tc>
          <w:tcPr>
            <w:tcW w:w="3613" w:type="dxa"/>
            <w:vAlign w:val="center"/>
          </w:tcPr>
          <w:p w14:paraId="0FF25CC4">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6"/>
                <w:sz w:val="24"/>
                <w:szCs w:val="24"/>
              </w:rPr>
              <w:t>照片</w:t>
            </w:r>
          </w:p>
        </w:tc>
      </w:tr>
      <w:tr w14:paraId="218B14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7" w:hRule="atLeast"/>
          <w:jc w:val="center"/>
        </w:trPr>
        <w:tc>
          <w:tcPr>
            <w:tcW w:w="2626" w:type="dxa"/>
            <w:vAlign w:val="center"/>
          </w:tcPr>
          <w:p w14:paraId="2266B01E">
            <w:pPr>
              <w:spacing w:line="240" w:lineRule="auto"/>
              <w:ind w:firstLine="10"/>
              <w:jc w:val="center"/>
              <w:rPr>
                <w:rFonts w:hint="default" w:ascii="Times New Roman" w:hAnsi="Times New Roman" w:eastAsia="仿宋" w:cs="Times New Roman"/>
                <w:sz w:val="24"/>
                <w:szCs w:val="24"/>
              </w:rPr>
            </w:pPr>
            <w:r>
              <w:rPr>
                <w:rFonts w:hint="default" w:ascii="Times New Roman" w:hAnsi="Times New Roman" w:eastAsia="仿宋" w:cs="Times New Roman"/>
                <w:spacing w:val="11"/>
                <w:sz w:val="24"/>
                <w:szCs w:val="24"/>
              </w:rPr>
              <w:t>1.*号楼入口未进行无</w:t>
            </w:r>
            <w:r>
              <w:rPr>
                <w:rFonts w:hint="default" w:ascii="Times New Roman" w:hAnsi="Times New Roman" w:eastAsia="仿宋" w:cs="Times New Roman"/>
                <w:spacing w:val="9"/>
                <w:sz w:val="24"/>
                <w:szCs w:val="24"/>
              </w:rPr>
              <w:t>障</w:t>
            </w:r>
            <w:r>
              <w:rPr>
                <w:rFonts w:hint="default" w:ascii="Times New Roman" w:hAnsi="Times New Roman" w:eastAsia="仿宋" w:cs="Times New Roman"/>
                <w:spacing w:val="-19"/>
                <w:sz w:val="24"/>
                <w:szCs w:val="24"/>
              </w:rPr>
              <w:t>碍</w:t>
            </w:r>
            <w:r>
              <w:rPr>
                <w:rFonts w:hint="default" w:ascii="Times New Roman" w:hAnsi="Times New Roman" w:eastAsia="仿宋" w:cs="Times New Roman"/>
                <w:spacing w:val="-14"/>
                <w:sz w:val="24"/>
                <w:szCs w:val="24"/>
              </w:rPr>
              <w:t>改造，入口未加装坡道。</w:t>
            </w:r>
          </w:p>
        </w:tc>
        <w:tc>
          <w:tcPr>
            <w:tcW w:w="3613" w:type="dxa"/>
            <w:vAlign w:val="center"/>
          </w:tcPr>
          <w:p w14:paraId="7CABC33A">
            <w:pPr>
              <w:spacing w:line="240" w:lineRule="auto"/>
              <w:ind w:left="0" w:leftChars="0" w:right="0" w:rightChars="0"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1800225" cy="205740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a:picLocks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1800225" cy="2057400"/>
                          </a:xfrm>
                          <a:prstGeom prst="rect">
                            <a:avLst/>
                          </a:prstGeom>
                          <a:noFill/>
                          <a:ln>
                            <a:noFill/>
                          </a:ln>
                        </pic:spPr>
                      </pic:pic>
                    </a:graphicData>
                  </a:graphic>
                </wp:inline>
              </w:drawing>
            </w:r>
          </w:p>
        </w:tc>
      </w:tr>
      <w:tr w14:paraId="6F979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7" w:hRule="atLeast"/>
          <w:jc w:val="center"/>
        </w:trPr>
        <w:tc>
          <w:tcPr>
            <w:tcW w:w="2626" w:type="dxa"/>
            <w:vAlign w:val="center"/>
          </w:tcPr>
          <w:p w14:paraId="446AF966">
            <w:pPr>
              <w:spacing w:line="240" w:lineRule="auto"/>
              <w:ind w:hanging="4"/>
              <w:jc w:val="center"/>
              <w:rPr>
                <w:rFonts w:hint="default" w:ascii="Times New Roman" w:hAnsi="Times New Roman" w:eastAsia="仿宋" w:cs="Times New Roman"/>
                <w:sz w:val="24"/>
                <w:szCs w:val="24"/>
              </w:rPr>
            </w:pPr>
            <w:r>
              <w:rPr>
                <w:rFonts w:hint="default" w:ascii="Times New Roman" w:hAnsi="Times New Roman" w:eastAsia="仿宋" w:cs="Times New Roman"/>
                <w:spacing w:val="4"/>
                <w:sz w:val="24"/>
                <w:szCs w:val="24"/>
              </w:rPr>
              <w:t>2</w:t>
            </w:r>
            <w:r>
              <w:rPr>
                <w:rFonts w:hint="default" w:ascii="Times New Roman" w:hAnsi="Times New Roman" w:eastAsia="仿宋" w:cs="Times New Roman"/>
                <w:spacing w:val="2"/>
                <w:sz w:val="24"/>
                <w:szCs w:val="24"/>
              </w:rPr>
              <w:t>.*号楼*层楼梯间未沿墙</w:t>
            </w:r>
            <w:r>
              <w:rPr>
                <w:rFonts w:hint="default" w:ascii="Times New Roman" w:hAnsi="Times New Roman" w:eastAsia="仿宋" w:cs="Times New Roman"/>
                <w:spacing w:val="-3"/>
                <w:sz w:val="24"/>
                <w:szCs w:val="24"/>
              </w:rPr>
              <w:t>加装扶手。</w:t>
            </w:r>
          </w:p>
        </w:tc>
        <w:tc>
          <w:tcPr>
            <w:tcW w:w="3613" w:type="dxa"/>
            <w:vAlign w:val="center"/>
          </w:tcPr>
          <w:p w14:paraId="3CA4B798">
            <w:pPr>
              <w:spacing w:line="240" w:lineRule="auto"/>
              <w:ind w:left="0" w:leftChars="0" w:right="0" w:rightChars="0"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1771650" cy="1771650"/>
                  <wp:effectExtent l="0" t="0" r="0" b="0"/>
                  <wp:docPr id="23" name="IM 23"/>
                  <wp:cNvGraphicFramePr/>
                  <a:graphic xmlns:a="http://schemas.openxmlformats.org/drawingml/2006/main">
                    <a:graphicData uri="http://schemas.openxmlformats.org/drawingml/2006/picture">
                      <pic:pic xmlns:pic="http://schemas.openxmlformats.org/drawingml/2006/picture">
                        <pic:nvPicPr>
                          <pic:cNvPr id="23" name="IM 23"/>
                          <pic:cNvPicPr>
                            <a:picLocks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1771650" cy="1771650"/>
                          </a:xfrm>
                          <a:prstGeom prst="rect">
                            <a:avLst/>
                          </a:prstGeom>
                          <a:noFill/>
                          <a:ln>
                            <a:noFill/>
                          </a:ln>
                        </pic:spPr>
                      </pic:pic>
                    </a:graphicData>
                  </a:graphic>
                </wp:inline>
              </w:drawing>
            </w:r>
          </w:p>
        </w:tc>
      </w:tr>
      <w:tr w14:paraId="1B739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0" w:hRule="atLeast"/>
          <w:jc w:val="center"/>
        </w:trPr>
        <w:tc>
          <w:tcPr>
            <w:tcW w:w="2626" w:type="dxa"/>
            <w:vAlign w:val="center"/>
          </w:tcPr>
          <w:p w14:paraId="033C05F4">
            <w:pPr>
              <w:spacing w:line="240" w:lineRule="auto"/>
              <w:ind w:hanging="5"/>
              <w:jc w:val="center"/>
              <w:rPr>
                <w:rFonts w:hint="default" w:ascii="Times New Roman" w:hAnsi="Times New Roman" w:eastAsia="仿宋" w:cs="Times New Roman"/>
                <w:sz w:val="24"/>
                <w:szCs w:val="24"/>
              </w:rPr>
            </w:pPr>
            <w:r>
              <w:rPr>
                <w:rFonts w:hint="default" w:ascii="Times New Roman" w:hAnsi="Times New Roman" w:eastAsia="仿宋" w:cs="Times New Roman"/>
                <w:spacing w:val="12"/>
                <w:sz w:val="24"/>
                <w:szCs w:val="24"/>
              </w:rPr>
              <w:t>3.*号楼未安装电梯但</w:t>
            </w:r>
            <w:r>
              <w:rPr>
                <w:rFonts w:hint="default" w:ascii="Times New Roman" w:hAnsi="Times New Roman" w:eastAsia="仿宋" w:cs="Times New Roman"/>
                <w:spacing w:val="11"/>
                <w:sz w:val="24"/>
                <w:szCs w:val="24"/>
              </w:rPr>
              <w:t>具</w:t>
            </w:r>
            <w:r>
              <w:rPr>
                <w:rFonts w:hint="default" w:ascii="Times New Roman" w:hAnsi="Times New Roman" w:eastAsia="仿宋" w:cs="Times New Roman"/>
                <w:spacing w:val="-7"/>
                <w:sz w:val="24"/>
                <w:szCs w:val="24"/>
              </w:rPr>
              <w:t>备</w:t>
            </w:r>
            <w:r>
              <w:rPr>
                <w:rFonts w:hint="default" w:ascii="Times New Roman" w:hAnsi="Times New Roman" w:eastAsia="仿宋" w:cs="Times New Roman"/>
                <w:spacing w:val="-6"/>
                <w:sz w:val="24"/>
                <w:szCs w:val="24"/>
              </w:rPr>
              <w:t>安装条件。</w:t>
            </w:r>
          </w:p>
        </w:tc>
        <w:tc>
          <w:tcPr>
            <w:tcW w:w="3613" w:type="dxa"/>
            <w:vAlign w:val="center"/>
          </w:tcPr>
          <w:p w14:paraId="6970613D">
            <w:pPr>
              <w:spacing w:line="240" w:lineRule="auto"/>
              <w:ind w:left="0" w:leftChars="0" w:right="0" w:rightChars="0"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1809750" cy="2076450"/>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a:picLocks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1809750" cy="2076450"/>
                          </a:xfrm>
                          <a:prstGeom prst="rect">
                            <a:avLst/>
                          </a:prstGeom>
                          <a:noFill/>
                          <a:ln>
                            <a:noFill/>
                          </a:ln>
                        </pic:spPr>
                      </pic:pic>
                    </a:graphicData>
                  </a:graphic>
                </wp:inline>
              </w:drawing>
            </w:r>
          </w:p>
        </w:tc>
      </w:tr>
    </w:tbl>
    <w:p w14:paraId="32FBF009">
      <w:pPr>
        <w:spacing w:line="360" w:lineRule="auto"/>
        <w:rPr>
          <w:rFonts w:hint="default" w:ascii="Times New Roman" w:hAnsi="Times New Roman" w:cs="Times New Roman"/>
          <w:sz w:val="24"/>
          <w:szCs w:val="24"/>
        </w:rPr>
      </w:pPr>
    </w:p>
    <w:p w14:paraId="23B0F38D">
      <w:pPr>
        <w:spacing w:line="360" w:lineRule="auto"/>
        <w:rPr>
          <w:rFonts w:hint="default" w:ascii="Times New Roman" w:hAnsi="Times New Roman" w:eastAsia="楷体" w:cs="Times New Roman"/>
          <w:b/>
          <w:bCs/>
          <w:spacing w:val="4"/>
          <w:sz w:val="24"/>
          <w:szCs w:val="24"/>
        </w:rPr>
      </w:pPr>
    </w:p>
    <w:p w14:paraId="4EAA8CD1">
      <w:pPr>
        <w:spacing w:line="360" w:lineRule="auto"/>
        <w:rPr>
          <w:rFonts w:hint="default" w:ascii="Times New Roman" w:hAnsi="Times New Roman" w:eastAsia="仿宋_GB2312" w:cs="Times New Roman"/>
          <w:b/>
          <w:bCs/>
          <w:spacing w:val="4"/>
          <w:sz w:val="32"/>
          <w:szCs w:val="32"/>
        </w:rPr>
      </w:pPr>
      <w:r>
        <w:rPr>
          <w:rFonts w:hint="default" w:ascii="Times New Roman" w:hAnsi="Times New Roman" w:eastAsia="仿宋_GB2312" w:cs="Times New Roman"/>
          <w:b/>
          <w:bCs/>
          <w:spacing w:val="4"/>
          <w:sz w:val="32"/>
          <w:szCs w:val="32"/>
        </w:rPr>
        <w:t>指标9：需要进行节能改造的住宅数量（栋）</w:t>
      </w:r>
    </w:p>
    <w:p w14:paraId="325253BD">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001492EA">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按照《城乡建设领域碳达峰实施方案》要求，查找既有住宅中具备节能改造价值但尚未进行节能改造的问题。</w:t>
      </w:r>
    </w:p>
    <w:p w14:paraId="6D2F185F">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3170B7E3">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具备节能改造价值但尚未进行节能改造的住宅数量。具备节能改造价值，指执行建筑节能50%以下标准，改造后能继续使用20年以上的住宅建筑。</w:t>
      </w:r>
    </w:p>
    <w:p w14:paraId="0E6120A3">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6A095EAF">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物业了解情况并调取相关资料、专业机构进行鉴定评估。</w:t>
      </w:r>
    </w:p>
    <w:p w14:paraId="6C5DF3C5">
      <w:pPr>
        <w:spacing w:line="360" w:lineRule="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【示范案例】</w:t>
      </w:r>
    </w:p>
    <w:p w14:paraId="69C45315">
      <w:pPr>
        <w:pStyle w:val="2"/>
        <w:rPr>
          <w:rFonts w:hint="default" w:ascii="Times New Roman" w:hAnsi="Times New Roman" w:cs="Times New Roman"/>
        </w:rPr>
      </w:pPr>
    </w:p>
    <w:p w14:paraId="579F4821">
      <w:pPr>
        <w:spacing w:line="360" w:lineRule="auto"/>
        <w:jc w:val="center"/>
        <w:rPr>
          <w:rFonts w:hint="default" w:ascii="Times New Roman" w:hAnsi="Times New Roman" w:eastAsia="仿宋_GB2312" w:cs="Times New Roman"/>
          <w:b/>
          <w:bCs/>
          <w:spacing w:val="1"/>
          <w:sz w:val="32"/>
          <w:szCs w:val="32"/>
        </w:rPr>
      </w:pPr>
      <w:r>
        <w:rPr>
          <w:rFonts w:hint="default" w:ascii="Times New Roman" w:hAnsi="Times New Roman" w:eastAsia="仿宋_GB2312" w:cs="Times New Roman"/>
          <w:b/>
          <w:bCs/>
          <w:spacing w:val="2"/>
          <w:sz w:val="32"/>
          <w:szCs w:val="32"/>
        </w:rPr>
        <w:t>___</w:t>
      </w:r>
      <w:r>
        <w:rPr>
          <w:rFonts w:hint="default" w:ascii="Times New Roman" w:hAnsi="Times New Roman" w:eastAsia="仿宋_GB2312" w:cs="Times New Roman"/>
          <w:b/>
          <w:bCs/>
          <w:spacing w:val="1"/>
          <w:sz w:val="32"/>
          <w:szCs w:val="32"/>
        </w:rPr>
        <w:t>__社区住房维度具体问题</w:t>
      </w:r>
    </w:p>
    <w:p w14:paraId="0F2200A4">
      <w:pPr>
        <w:pStyle w:val="2"/>
        <w:rPr>
          <w:rFonts w:hint="default" w:ascii="Times New Roman" w:hAnsi="Times New Roman" w:cs="Times New Roman"/>
        </w:rPr>
      </w:pPr>
    </w:p>
    <w:tbl>
      <w:tblPr>
        <w:tblStyle w:val="57"/>
        <w:tblW w:w="691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13"/>
        <w:gridCol w:w="4706"/>
      </w:tblGrid>
      <w:tr w14:paraId="31429E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jc w:val="center"/>
        </w:trPr>
        <w:tc>
          <w:tcPr>
            <w:tcW w:w="2213" w:type="dxa"/>
            <w:vAlign w:val="center"/>
          </w:tcPr>
          <w:p w14:paraId="18EE97DA">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12"/>
                <w:sz w:val="24"/>
                <w:szCs w:val="24"/>
              </w:rPr>
              <w:t>问</w:t>
            </w:r>
            <w:r>
              <w:rPr>
                <w:rFonts w:hint="default" w:ascii="Times New Roman" w:hAnsi="Times New Roman" w:eastAsia="仿宋" w:cs="Times New Roman"/>
                <w:b/>
                <w:bCs/>
                <w:spacing w:val="-11"/>
                <w:sz w:val="24"/>
                <w:szCs w:val="24"/>
              </w:rPr>
              <w:t>题</w:t>
            </w:r>
          </w:p>
        </w:tc>
        <w:tc>
          <w:tcPr>
            <w:tcW w:w="4706" w:type="dxa"/>
            <w:vAlign w:val="center"/>
          </w:tcPr>
          <w:p w14:paraId="38838DCC">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6"/>
                <w:sz w:val="24"/>
                <w:szCs w:val="24"/>
              </w:rPr>
              <w:t>照片</w:t>
            </w:r>
          </w:p>
        </w:tc>
      </w:tr>
      <w:tr w14:paraId="49D134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7" w:hRule="atLeast"/>
          <w:jc w:val="center"/>
        </w:trPr>
        <w:tc>
          <w:tcPr>
            <w:tcW w:w="2213" w:type="dxa"/>
            <w:vAlign w:val="center"/>
          </w:tcPr>
          <w:p w14:paraId="63AD79B4">
            <w:pPr>
              <w:spacing w:line="240" w:lineRule="auto"/>
              <w:ind w:firstLine="9"/>
              <w:jc w:val="center"/>
              <w:rPr>
                <w:rFonts w:hint="default" w:ascii="Times New Roman" w:hAnsi="Times New Roman" w:eastAsia="仿宋" w:cs="Times New Roman"/>
                <w:sz w:val="24"/>
                <w:szCs w:val="24"/>
              </w:rPr>
            </w:pPr>
            <w:r>
              <w:rPr>
                <w:rFonts w:hint="default" w:ascii="Times New Roman" w:hAnsi="Times New Roman" w:eastAsia="仿宋" w:cs="Times New Roman"/>
                <w:spacing w:val="4"/>
                <w:sz w:val="24"/>
                <w:szCs w:val="24"/>
              </w:rPr>
              <w:t>1</w:t>
            </w:r>
            <w:r>
              <w:rPr>
                <w:rFonts w:hint="default" w:ascii="Times New Roman" w:hAnsi="Times New Roman" w:eastAsia="仿宋" w:cs="Times New Roman"/>
                <w:spacing w:val="3"/>
                <w:sz w:val="24"/>
                <w:szCs w:val="24"/>
              </w:rPr>
              <w:t>.*号楼具备节能</w:t>
            </w:r>
            <w:r>
              <w:rPr>
                <w:rFonts w:hint="default" w:ascii="Times New Roman" w:hAnsi="Times New Roman" w:eastAsia="仿宋" w:cs="Times New Roman"/>
                <w:spacing w:val="23"/>
                <w:sz w:val="24"/>
                <w:szCs w:val="24"/>
              </w:rPr>
              <w:t>改造价值但尚未</w:t>
            </w:r>
            <w:r>
              <w:rPr>
                <w:rFonts w:hint="default" w:ascii="Times New Roman" w:hAnsi="Times New Roman" w:eastAsia="仿宋" w:cs="Times New Roman"/>
                <w:spacing w:val="22"/>
                <w:sz w:val="24"/>
                <w:szCs w:val="24"/>
              </w:rPr>
              <w:t>进</w:t>
            </w:r>
            <w:r>
              <w:rPr>
                <w:rFonts w:hint="default" w:ascii="Times New Roman" w:hAnsi="Times New Roman" w:eastAsia="仿宋" w:cs="Times New Roman"/>
                <w:spacing w:val="-7"/>
                <w:sz w:val="24"/>
                <w:szCs w:val="24"/>
              </w:rPr>
              <w:t>行</w:t>
            </w:r>
            <w:r>
              <w:rPr>
                <w:rFonts w:hint="default" w:ascii="Times New Roman" w:hAnsi="Times New Roman" w:eastAsia="仿宋" w:cs="Times New Roman"/>
                <w:spacing w:val="-6"/>
                <w:sz w:val="24"/>
                <w:szCs w:val="24"/>
              </w:rPr>
              <w:t>节能改造。</w:t>
            </w:r>
          </w:p>
        </w:tc>
        <w:tc>
          <w:tcPr>
            <w:tcW w:w="4706" w:type="dxa"/>
            <w:vAlign w:val="center"/>
          </w:tcPr>
          <w:p w14:paraId="31803667">
            <w:pPr>
              <w:spacing w:line="240" w:lineRule="auto"/>
              <w:ind w:left="0" w:leftChars="0" w:right="0" w:rightChars="0"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258060" cy="1892935"/>
                  <wp:effectExtent l="0" t="0" r="8890" b="12065"/>
                  <wp:docPr id="25" name="IM 25"/>
                  <wp:cNvGraphicFramePr/>
                  <a:graphic xmlns:a="http://schemas.openxmlformats.org/drawingml/2006/main">
                    <a:graphicData uri="http://schemas.openxmlformats.org/drawingml/2006/picture">
                      <pic:pic xmlns:pic="http://schemas.openxmlformats.org/drawingml/2006/picture">
                        <pic:nvPicPr>
                          <pic:cNvPr id="25" name="IM 25"/>
                          <pic:cNvPicPr>
                            <a:picLocks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2258060" cy="1892935"/>
                          </a:xfrm>
                          <a:prstGeom prst="rect">
                            <a:avLst/>
                          </a:prstGeom>
                          <a:noFill/>
                          <a:ln>
                            <a:noFill/>
                          </a:ln>
                        </pic:spPr>
                      </pic:pic>
                    </a:graphicData>
                  </a:graphic>
                </wp:inline>
              </w:drawing>
            </w:r>
          </w:p>
        </w:tc>
      </w:tr>
    </w:tbl>
    <w:p w14:paraId="4ECD02DA">
      <w:pPr>
        <w:spacing w:line="360" w:lineRule="auto"/>
        <w:rPr>
          <w:rFonts w:hint="default" w:ascii="Times New Roman" w:hAnsi="Times New Roman" w:cs="Times New Roman"/>
          <w:sz w:val="24"/>
          <w:szCs w:val="24"/>
        </w:rPr>
      </w:pPr>
    </w:p>
    <w:p w14:paraId="3A2AB941">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pacing w:val="4"/>
          <w:sz w:val="32"/>
          <w:szCs w:val="32"/>
        </w:rPr>
      </w:pPr>
      <w:r>
        <w:rPr>
          <w:rFonts w:hint="default" w:ascii="Times New Roman" w:hAnsi="Times New Roman" w:eastAsia="仿宋_GB2312" w:cs="Times New Roman"/>
          <w:b/>
          <w:bCs/>
          <w:spacing w:val="4"/>
          <w:sz w:val="32"/>
          <w:szCs w:val="32"/>
        </w:rPr>
        <w:br w:type="page"/>
      </w:r>
    </w:p>
    <w:p w14:paraId="3E18AF4E">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w:t>
      </w:r>
      <w:r>
        <w:rPr>
          <w:rFonts w:hint="default" w:ascii="Times New Roman" w:hAnsi="Times New Roman" w:eastAsia="仿宋_GB2312" w:cs="Times New Roman"/>
          <w:b/>
          <w:bCs/>
          <w:spacing w:val="3"/>
          <w:sz w:val="32"/>
          <w:szCs w:val="32"/>
        </w:rPr>
        <w:t>标</w:t>
      </w:r>
      <w:r>
        <w:rPr>
          <w:rFonts w:hint="default" w:ascii="Times New Roman" w:hAnsi="Times New Roman" w:eastAsia="仿宋_GB2312" w:cs="Times New Roman"/>
          <w:b/>
          <w:bCs/>
          <w:spacing w:val="2"/>
          <w:sz w:val="32"/>
          <w:szCs w:val="32"/>
        </w:rPr>
        <w:t>10：需要进行数字化改造的住宅数量（栋）</w:t>
      </w:r>
    </w:p>
    <w:p w14:paraId="591AA5C4">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7DA1CE9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住房和城乡建设部等部门《关于加快发展数字家庭提高居住品质的指导意见》要求，查找既有住宅中网络基础设施、安防监测设备、高层住宅烟雾报警器等智能产品设置存在的问题。针对有需要的老年人、残疾人家庭，查找在健康管理、紧急呼叫等智能产品设置方面存在的问题。</w:t>
      </w:r>
    </w:p>
    <w:p w14:paraId="1459CEFD">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091387C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lang w:val="en-US" w:eastAsia="zh-CN"/>
        </w:rPr>
        <w:t>1</w:t>
      </w:r>
      <w:r>
        <w:rPr>
          <w:rFonts w:hint="default"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住宅网络基础设施未覆盖，不具备光纤入户条件。</w:t>
      </w:r>
    </w:p>
    <w:p w14:paraId="7B3C907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lang w:val="en-US" w:eastAsia="zh-CN"/>
        </w:rPr>
        <w:t>2</w:t>
      </w:r>
      <w:r>
        <w:rPr>
          <w:rFonts w:hint="default"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住宅公共空间未安装楼宇入侵报警、视频监控等安防检测设备。</w:t>
      </w:r>
    </w:p>
    <w:p w14:paraId="10C0E86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lang w:val="en-US" w:eastAsia="zh-CN"/>
        </w:rPr>
        <w:t>3</w:t>
      </w:r>
      <w:r>
        <w:rPr>
          <w:rFonts w:hint="default"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高层住宅的楼梯间、走道、候梯厅、门厅等公共部位未安装烟感报警器。</w:t>
      </w:r>
    </w:p>
    <w:p w14:paraId="55CABE2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lang w:val="en-US" w:eastAsia="zh-CN"/>
        </w:rPr>
        <w:t>4</w:t>
      </w:r>
      <w:r>
        <w:rPr>
          <w:rFonts w:hint="default"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未安装家庭健康紧急呼叫系统，无法保障有需要的居家老年人、残疾人安装一键紧急呼叫、安全监护无感化监测等智能产品。</w:t>
      </w:r>
    </w:p>
    <w:p w14:paraId="407741F5">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1BF8D5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物业了解情况并调取相关资料、人工查看、入户了解情况、专业检测机构进行检测等。</w:t>
      </w:r>
    </w:p>
    <w:p w14:paraId="3A0953BD">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【示范案例】</w:t>
      </w:r>
    </w:p>
    <w:p w14:paraId="1B2528F4">
      <w:pPr>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br w:type="page"/>
      </w:r>
    </w:p>
    <w:p w14:paraId="0BA3BB0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pacing w:val="1"/>
          <w:sz w:val="32"/>
          <w:szCs w:val="32"/>
        </w:rPr>
      </w:pPr>
      <w:r>
        <w:rPr>
          <w:rFonts w:hint="default" w:ascii="Times New Roman" w:hAnsi="Times New Roman" w:eastAsia="仿宋_GB2312" w:cs="Times New Roman"/>
          <w:b/>
          <w:bCs/>
          <w:spacing w:val="2"/>
          <w:sz w:val="32"/>
          <w:szCs w:val="32"/>
        </w:rPr>
        <w:t>___</w:t>
      </w:r>
      <w:r>
        <w:rPr>
          <w:rFonts w:hint="default" w:ascii="Times New Roman" w:hAnsi="Times New Roman" w:eastAsia="仿宋_GB2312" w:cs="Times New Roman"/>
          <w:b/>
          <w:bCs/>
          <w:spacing w:val="1"/>
          <w:sz w:val="32"/>
          <w:szCs w:val="32"/>
        </w:rPr>
        <w:t>__社区住房维度具体问题</w:t>
      </w:r>
    </w:p>
    <w:p w14:paraId="3356F599">
      <w:pPr>
        <w:pStyle w:val="2"/>
        <w:rPr>
          <w:rFonts w:hint="default" w:ascii="Times New Roman" w:hAnsi="Times New Roman" w:cs="Times New Roman"/>
        </w:rPr>
      </w:pPr>
    </w:p>
    <w:tbl>
      <w:tblPr>
        <w:tblStyle w:val="57"/>
        <w:tblW w:w="801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80"/>
        <w:gridCol w:w="4839"/>
      </w:tblGrid>
      <w:tr w14:paraId="4F005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jc w:val="center"/>
        </w:trPr>
        <w:tc>
          <w:tcPr>
            <w:tcW w:w="3180" w:type="dxa"/>
            <w:vAlign w:val="center"/>
          </w:tcPr>
          <w:p w14:paraId="533802AB">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12"/>
                <w:sz w:val="24"/>
                <w:szCs w:val="24"/>
              </w:rPr>
              <w:t>问</w:t>
            </w:r>
            <w:r>
              <w:rPr>
                <w:rFonts w:hint="default" w:ascii="Times New Roman" w:hAnsi="Times New Roman" w:eastAsia="仿宋" w:cs="Times New Roman"/>
                <w:b/>
                <w:bCs/>
                <w:spacing w:val="-11"/>
                <w:sz w:val="24"/>
                <w:szCs w:val="24"/>
              </w:rPr>
              <w:t>题</w:t>
            </w:r>
          </w:p>
        </w:tc>
        <w:tc>
          <w:tcPr>
            <w:tcW w:w="4839" w:type="dxa"/>
            <w:vAlign w:val="center"/>
          </w:tcPr>
          <w:p w14:paraId="6BDCC5D4">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6"/>
                <w:sz w:val="24"/>
                <w:szCs w:val="24"/>
              </w:rPr>
              <w:t>照片</w:t>
            </w:r>
          </w:p>
        </w:tc>
      </w:tr>
      <w:tr w14:paraId="729060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7" w:hRule="atLeast"/>
          <w:jc w:val="center"/>
        </w:trPr>
        <w:tc>
          <w:tcPr>
            <w:tcW w:w="3180" w:type="dxa"/>
            <w:vAlign w:val="center"/>
          </w:tcPr>
          <w:p w14:paraId="6372ED91">
            <w:pPr>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pacing w:val="8"/>
                <w:sz w:val="24"/>
                <w:szCs w:val="24"/>
              </w:rPr>
              <w:t>1</w:t>
            </w:r>
            <w:r>
              <w:rPr>
                <w:rFonts w:hint="default" w:ascii="Times New Roman" w:hAnsi="Times New Roman" w:eastAsia="仿宋" w:cs="Times New Roman"/>
                <w:spacing w:val="6"/>
                <w:sz w:val="24"/>
                <w:szCs w:val="24"/>
              </w:rPr>
              <w:t>.*号楼住宅未安装安防</w:t>
            </w:r>
            <w:r>
              <w:rPr>
                <w:rFonts w:hint="default" w:ascii="Times New Roman" w:hAnsi="Times New Roman" w:eastAsia="仿宋" w:cs="Times New Roman"/>
                <w:spacing w:val="-8"/>
                <w:sz w:val="24"/>
                <w:szCs w:val="24"/>
              </w:rPr>
              <w:t>监</w:t>
            </w:r>
            <w:r>
              <w:rPr>
                <w:rFonts w:hint="default" w:ascii="Times New Roman" w:hAnsi="Times New Roman" w:eastAsia="仿宋" w:cs="Times New Roman"/>
                <w:spacing w:val="-4"/>
                <w:sz w:val="24"/>
                <w:szCs w:val="24"/>
              </w:rPr>
              <w:t>测设备。</w:t>
            </w:r>
          </w:p>
        </w:tc>
        <w:tc>
          <w:tcPr>
            <w:tcW w:w="4839" w:type="dxa"/>
            <w:vAlign w:val="center"/>
          </w:tcPr>
          <w:p w14:paraId="1DE3DE31">
            <w:pPr>
              <w:spacing w:line="240" w:lineRule="auto"/>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160270" cy="1485900"/>
                  <wp:effectExtent l="0" t="0" r="1143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a:picLocks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2160270" cy="1485900"/>
                          </a:xfrm>
                          <a:prstGeom prst="rect">
                            <a:avLst/>
                          </a:prstGeom>
                          <a:noFill/>
                          <a:ln>
                            <a:noFill/>
                          </a:ln>
                        </pic:spPr>
                      </pic:pic>
                    </a:graphicData>
                  </a:graphic>
                </wp:inline>
              </w:drawing>
            </w:r>
          </w:p>
        </w:tc>
      </w:tr>
      <w:tr w14:paraId="47321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6" w:hRule="atLeast"/>
          <w:jc w:val="center"/>
        </w:trPr>
        <w:tc>
          <w:tcPr>
            <w:tcW w:w="3180" w:type="dxa"/>
            <w:vAlign w:val="center"/>
          </w:tcPr>
          <w:p w14:paraId="699DE2E1">
            <w:pPr>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pacing w:val="12"/>
                <w:sz w:val="24"/>
                <w:szCs w:val="24"/>
              </w:rPr>
              <w:t>2</w:t>
            </w:r>
            <w:r>
              <w:rPr>
                <w:rFonts w:hint="default" w:ascii="Times New Roman" w:hAnsi="Times New Roman" w:eastAsia="仿宋" w:cs="Times New Roman"/>
                <w:spacing w:val="7"/>
                <w:sz w:val="24"/>
                <w:szCs w:val="24"/>
              </w:rPr>
              <w:t>.*号楼高层住宅未安装</w:t>
            </w:r>
            <w:r>
              <w:rPr>
                <w:rFonts w:hint="default" w:ascii="Times New Roman" w:hAnsi="Times New Roman" w:eastAsia="仿宋" w:cs="Times New Roman"/>
                <w:spacing w:val="-9"/>
                <w:sz w:val="24"/>
                <w:szCs w:val="24"/>
              </w:rPr>
              <w:t>烟</w:t>
            </w:r>
            <w:r>
              <w:rPr>
                <w:rFonts w:hint="default" w:ascii="Times New Roman" w:hAnsi="Times New Roman" w:eastAsia="仿宋" w:cs="Times New Roman"/>
                <w:spacing w:val="-5"/>
                <w:sz w:val="24"/>
                <w:szCs w:val="24"/>
              </w:rPr>
              <w:t>雾报警器。</w:t>
            </w:r>
          </w:p>
        </w:tc>
        <w:tc>
          <w:tcPr>
            <w:tcW w:w="4839" w:type="dxa"/>
            <w:vAlign w:val="center"/>
          </w:tcPr>
          <w:p w14:paraId="3F0103AD">
            <w:pPr>
              <w:spacing w:line="240" w:lineRule="auto"/>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091055" cy="1411605"/>
                  <wp:effectExtent l="0" t="0" r="4445" b="17145"/>
                  <wp:docPr id="27" name="IM 27"/>
                  <wp:cNvGraphicFramePr/>
                  <a:graphic xmlns:a="http://schemas.openxmlformats.org/drawingml/2006/main">
                    <a:graphicData uri="http://schemas.openxmlformats.org/drawingml/2006/picture">
                      <pic:pic xmlns:pic="http://schemas.openxmlformats.org/drawingml/2006/picture">
                        <pic:nvPicPr>
                          <pic:cNvPr id="27" name="IM 27"/>
                          <pic:cNvPicPr>
                            <a:picLocks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2091055" cy="1411605"/>
                          </a:xfrm>
                          <a:prstGeom prst="rect">
                            <a:avLst/>
                          </a:prstGeom>
                          <a:noFill/>
                          <a:ln>
                            <a:noFill/>
                          </a:ln>
                        </pic:spPr>
                      </pic:pic>
                    </a:graphicData>
                  </a:graphic>
                </wp:inline>
              </w:drawing>
            </w:r>
          </w:p>
        </w:tc>
      </w:tr>
      <w:tr w14:paraId="4EDB45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2" w:hRule="atLeast"/>
          <w:jc w:val="center"/>
        </w:trPr>
        <w:tc>
          <w:tcPr>
            <w:tcW w:w="3180" w:type="dxa"/>
            <w:vAlign w:val="center"/>
          </w:tcPr>
          <w:p w14:paraId="2A81864E">
            <w:pPr>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pacing w:val="7"/>
                <w:sz w:val="24"/>
                <w:szCs w:val="24"/>
              </w:rPr>
              <w:t>3.*号楼*层*户未安装</w:t>
            </w:r>
            <w:r>
              <w:rPr>
                <w:rFonts w:hint="default" w:ascii="Times New Roman" w:hAnsi="Times New Roman" w:eastAsia="仿宋" w:cs="Times New Roman"/>
                <w:spacing w:val="4"/>
                <w:sz w:val="24"/>
                <w:szCs w:val="24"/>
              </w:rPr>
              <w:t>家</w:t>
            </w:r>
            <w:r>
              <w:rPr>
                <w:rFonts w:hint="default" w:ascii="Times New Roman" w:hAnsi="Times New Roman" w:eastAsia="仿宋" w:cs="Times New Roman"/>
                <w:spacing w:val="-4"/>
                <w:sz w:val="24"/>
                <w:szCs w:val="24"/>
              </w:rPr>
              <w:t>庭健康紧急呼叫系统</w:t>
            </w:r>
            <w:r>
              <w:rPr>
                <w:rFonts w:hint="default" w:ascii="Times New Roman" w:hAnsi="Times New Roman" w:eastAsia="仿宋" w:cs="Times New Roman"/>
                <w:spacing w:val="-3"/>
                <w:sz w:val="24"/>
                <w:szCs w:val="24"/>
              </w:rPr>
              <w:t>。</w:t>
            </w:r>
          </w:p>
        </w:tc>
        <w:tc>
          <w:tcPr>
            <w:tcW w:w="4839" w:type="dxa"/>
            <w:vAlign w:val="center"/>
          </w:tcPr>
          <w:p w14:paraId="75BFE38B">
            <w:pPr>
              <w:spacing w:line="240" w:lineRule="auto"/>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021840" cy="1697355"/>
                  <wp:effectExtent l="0" t="0" r="16510" b="17145"/>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2021840" cy="1697355"/>
                          </a:xfrm>
                          <a:prstGeom prst="rect">
                            <a:avLst/>
                          </a:prstGeom>
                          <a:noFill/>
                          <a:ln>
                            <a:noFill/>
                          </a:ln>
                        </pic:spPr>
                      </pic:pic>
                    </a:graphicData>
                  </a:graphic>
                </wp:inline>
              </w:drawing>
            </w:r>
          </w:p>
        </w:tc>
      </w:tr>
    </w:tbl>
    <w:p w14:paraId="7F5EDEB2">
      <w:pPr>
        <w:spacing w:line="360" w:lineRule="auto"/>
        <w:rPr>
          <w:rFonts w:hint="default" w:ascii="Times New Roman" w:hAnsi="Times New Roman" w:eastAsia="仿宋" w:cs="Times New Roman"/>
          <w:spacing w:val="5"/>
          <w:position w:val="2"/>
          <w:sz w:val="24"/>
          <w:szCs w:val="24"/>
        </w:rPr>
      </w:pPr>
    </w:p>
    <w:p w14:paraId="4CB7219A">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pacing w:val="5"/>
          <w:position w:val="2"/>
          <w:sz w:val="32"/>
          <w:szCs w:val="32"/>
        </w:rPr>
      </w:pPr>
      <w:r>
        <w:rPr>
          <w:rFonts w:hint="default" w:ascii="Times New Roman" w:hAnsi="Times New Roman" w:eastAsia="仿宋_GB2312" w:cs="Times New Roman"/>
          <w:b/>
          <w:bCs/>
          <w:spacing w:val="5"/>
          <w:position w:val="2"/>
          <w:sz w:val="32"/>
          <w:szCs w:val="32"/>
        </w:rPr>
        <w:t>二、小区（社区）维度</w:t>
      </w:r>
    </w:p>
    <w:p w14:paraId="69C11BC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统计对象：以社区居民委员会辖区为基本单元，采集居住类型为主的社区，历史文化街区、城中村按照相关要求划分为标准统计单元。</w:t>
      </w:r>
    </w:p>
    <w:p w14:paraId="4C6F98E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空间范围：（1）小区主要以实际物业管理范围为基本单元，对于尚未纳入专业物业管理的住宅区域，应结合道路、绿化隔离带等边界合理确定。（2）社区以民政部门确定的社区边界为基本单元，重点聚焦以居住类型为主的社区，历史文化街区、各类平房区、棚户区按照相关要求划分为标准统计单元。（3）根据社区的面积与人口规模，按照5-10分钟生活圈范围划定标准统计单元；每处标准统计单元根据相关标准规范进行核算，根据统计结果核算到社区进行汇总填报。居住人口规模小于5000人的社区可纳入相邻社区进行统筹。</w:t>
      </w:r>
    </w:p>
    <w:p w14:paraId="71436A7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体检方式：由多专业技术人员、社区管理员组成联合工作组，开展现场调研与数据填报工作。数据采集根据社区的面积与人口规模，按照社区边界统计；数据汇总以社区为基本单元，填报整理后统一汇总至社区所属街道（乡镇）。小区（社区）维度调查表详见附录5。</w:t>
      </w:r>
    </w:p>
    <w:p w14:paraId="26FED4D2">
      <w:pPr>
        <w:pStyle w:val="2"/>
        <w:keepNext w:val="0"/>
        <w:keepLines w:val="0"/>
        <w:pageBreakBefore w:val="0"/>
        <w:widowControl w:val="0"/>
        <w:kinsoku/>
        <w:wordWrap/>
        <w:overflowPunct/>
        <w:topLinePunct w:val="0"/>
        <w:autoSpaceDE/>
        <w:autoSpaceDN/>
        <w:bidi w:val="0"/>
        <w:adjustRightInd/>
        <w:snapToGrid/>
        <w:spacing w:line="600" w:lineRule="exact"/>
        <w:ind w:firstLine="480"/>
        <w:textAlignment w:val="auto"/>
        <w:rPr>
          <w:rFonts w:hint="default" w:ascii="Times New Roman" w:hAnsi="Times New Roman" w:eastAsia="仿宋_GB2312" w:cs="Times New Roman"/>
          <w:sz w:val="32"/>
          <w:szCs w:val="32"/>
        </w:rPr>
      </w:pPr>
    </w:p>
    <w:p w14:paraId="58A54DAB">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w:t>
      </w:r>
      <w:r>
        <w:rPr>
          <w:rFonts w:hint="default" w:ascii="Times New Roman" w:hAnsi="Times New Roman" w:eastAsia="仿宋_GB2312" w:cs="Times New Roman"/>
          <w:b/>
          <w:bCs/>
          <w:spacing w:val="3"/>
          <w:sz w:val="32"/>
          <w:szCs w:val="32"/>
        </w:rPr>
        <w:t>标</w:t>
      </w:r>
      <w:r>
        <w:rPr>
          <w:rFonts w:hint="default" w:ascii="Times New Roman" w:hAnsi="Times New Roman" w:eastAsia="仿宋_GB2312" w:cs="Times New Roman"/>
          <w:b/>
          <w:bCs/>
          <w:spacing w:val="2"/>
          <w:sz w:val="32"/>
          <w:szCs w:val="32"/>
        </w:rPr>
        <w:t>11：未达标配建的养老服务设施数量（个）</w:t>
      </w:r>
    </w:p>
    <w:p w14:paraId="51ADE649">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3F36618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按照《社区老年人日间照料中心建设标准》《完整居住社区建设标准（试行）》等标准，查找社区养老服务设施配建缺失，以及生活照料、康复护理、助餐助行、上门照护、文化娱乐等养老服务不健全的问题。</w:t>
      </w:r>
    </w:p>
    <w:p w14:paraId="4345B9BD">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18CED48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iCs/>
          <w:color w:val="000000"/>
          <w:sz w:val="32"/>
          <w:szCs w:val="32"/>
          <w:lang w:eastAsia="zh-CN"/>
        </w:rPr>
      </w:pPr>
      <w:r>
        <w:rPr>
          <w:rFonts w:hint="default" w:ascii="Times New Roman" w:hAnsi="Times New Roman" w:eastAsia="仿宋_GB2312" w:cs="Times New Roman"/>
          <w:iCs/>
          <w:color w:val="000000"/>
          <w:sz w:val="32"/>
          <w:szCs w:val="32"/>
        </w:rPr>
        <w:t>1</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查找社区内是否配建社区养老服务设施（社区养老服务设施既包含政府出资建设的设施，也包含社会资本出资、政府联合社会资本出资等方式建设的设施。常住人口小于5000人的社区与周边社区统筹设置，不单独进行此项指标统计）</w:t>
      </w:r>
      <w:r>
        <w:rPr>
          <w:rFonts w:hint="eastAsia" w:ascii="Times New Roman" w:hAnsi="Times New Roman" w:eastAsia="仿宋_GB2312" w:cs="Times New Roman"/>
          <w:iCs/>
          <w:color w:val="000000"/>
          <w:sz w:val="32"/>
          <w:szCs w:val="32"/>
          <w:lang w:eastAsia="zh-CN"/>
        </w:rPr>
        <w:t>。</w:t>
      </w:r>
    </w:p>
    <w:p w14:paraId="7338015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查找社区养老服务设施是否达到《社区老年人日间照料中心建设标准》《完整居住社区建设标准（试行）》等标准提出的配置要求。既有社区可与社区综合服务站统筹建设，具备日间生活照料、康复护理、老年餐桌、文化娱乐等功能，新建社区服务居住人口为5000-12000人时，按标准配建养老服务设施的建筑面积为350-750平方米。</w:t>
      </w:r>
    </w:p>
    <w:p w14:paraId="7F1FD6B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3</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查找社区养老服务设施是否存在生活照料、康复护理、助餐助行、上门照护、文化娱乐等养老服务不健全的问题。</w:t>
      </w:r>
    </w:p>
    <w:p w14:paraId="196396AB">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6F90C14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数量面积：由社区提供，或按地图（高分遥感影像）测量。</w:t>
      </w:r>
    </w:p>
    <w:p w14:paraId="2204E6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设施情况：社区管理员或专业人员现场调研填报。</w:t>
      </w:r>
    </w:p>
    <w:p w14:paraId="31C5D37D">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【示范案例】</w:t>
      </w:r>
    </w:p>
    <w:p w14:paraId="7963410C">
      <w:pPr>
        <w:pStyle w:val="2"/>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_GB2312" w:cs="Times New Roman"/>
          <w:sz w:val="32"/>
          <w:szCs w:val="32"/>
        </w:rPr>
      </w:pPr>
    </w:p>
    <w:p w14:paraId="6C57C52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b/>
          <w:bCs/>
          <w:spacing w:val="1"/>
          <w:sz w:val="32"/>
          <w:szCs w:val="32"/>
        </w:rPr>
      </w:pPr>
      <w:r>
        <w:rPr>
          <w:rFonts w:hint="default" w:ascii="Times New Roman" w:hAnsi="Times New Roman" w:eastAsia="仿宋_GB2312" w:cs="Times New Roman"/>
          <w:b/>
          <w:bCs/>
          <w:spacing w:val="2"/>
          <w:sz w:val="32"/>
          <w:szCs w:val="32"/>
        </w:rPr>
        <w:t>_</w:t>
      </w:r>
      <w:r>
        <w:rPr>
          <w:rFonts w:hint="default" w:ascii="Times New Roman" w:hAnsi="Times New Roman" w:eastAsia="仿宋_GB2312" w:cs="Times New Roman"/>
          <w:b/>
          <w:bCs/>
          <w:spacing w:val="1"/>
          <w:sz w:val="32"/>
          <w:szCs w:val="32"/>
        </w:rPr>
        <w:t>____社区维度具体问题</w:t>
      </w:r>
    </w:p>
    <w:p w14:paraId="0BFFF85F">
      <w:pPr>
        <w:pStyle w:val="2"/>
        <w:rPr>
          <w:rFonts w:hint="default" w:ascii="Times New Roman" w:hAnsi="Times New Roman" w:cs="Times New Roman"/>
        </w:rPr>
      </w:pPr>
    </w:p>
    <w:tbl>
      <w:tblPr>
        <w:tblStyle w:val="57"/>
        <w:tblW w:w="852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90"/>
        <w:gridCol w:w="5438"/>
      </w:tblGrid>
      <w:tr w14:paraId="715AC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jc w:val="center"/>
        </w:trPr>
        <w:tc>
          <w:tcPr>
            <w:tcW w:w="3090" w:type="dxa"/>
            <w:vAlign w:val="center"/>
          </w:tcPr>
          <w:p w14:paraId="308BDF47">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12"/>
                <w:sz w:val="24"/>
                <w:szCs w:val="24"/>
              </w:rPr>
              <w:t>问</w:t>
            </w:r>
            <w:r>
              <w:rPr>
                <w:rFonts w:hint="default" w:ascii="Times New Roman" w:hAnsi="Times New Roman" w:eastAsia="仿宋" w:cs="Times New Roman"/>
                <w:b/>
                <w:bCs/>
                <w:spacing w:val="-11"/>
                <w:sz w:val="24"/>
                <w:szCs w:val="24"/>
              </w:rPr>
              <w:t>题</w:t>
            </w:r>
          </w:p>
        </w:tc>
        <w:tc>
          <w:tcPr>
            <w:tcW w:w="5438" w:type="dxa"/>
            <w:vAlign w:val="center"/>
          </w:tcPr>
          <w:p w14:paraId="345A7E68">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11"/>
                <w:sz w:val="24"/>
                <w:szCs w:val="24"/>
              </w:rPr>
              <w:t>图</w:t>
            </w:r>
            <w:r>
              <w:rPr>
                <w:rFonts w:hint="default" w:ascii="Times New Roman" w:hAnsi="Times New Roman" w:eastAsia="仿宋" w:cs="Times New Roman"/>
                <w:b/>
                <w:bCs/>
                <w:spacing w:val="-10"/>
                <w:sz w:val="24"/>
                <w:szCs w:val="24"/>
              </w:rPr>
              <w:t>片照片</w:t>
            </w:r>
          </w:p>
        </w:tc>
      </w:tr>
      <w:tr w14:paraId="26120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0" w:hRule="atLeast"/>
          <w:jc w:val="center"/>
        </w:trPr>
        <w:tc>
          <w:tcPr>
            <w:tcW w:w="3090" w:type="dxa"/>
            <w:vAlign w:val="center"/>
          </w:tcPr>
          <w:p w14:paraId="395DD2BE">
            <w:pPr>
              <w:spacing w:line="240" w:lineRule="auto"/>
              <w:ind w:hanging="4"/>
              <w:jc w:val="center"/>
              <w:rPr>
                <w:rFonts w:hint="default" w:ascii="Times New Roman" w:hAnsi="Times New Roman" w:eastAsia="仿宋" w:cs="Times New Roman"/>
                <w:sz w:val="24"/>
                <w:szCs w:val="24"/>
              </w:rPr>
            </w:pPr>
            <w:r>
              <w:rPr>
                <w:rFonts w:hint="default" w:ascii="Times New Roman" w:hAnsi="Times New Roman" w:eastAsia="仿宋" w:cs="Times New Roman"/>
                <w:spacing w:val="-4"/>
                <w:sz w:val="24"/>
                <w:szCs w:val="24"/>
              </w:rPr>
              <w:t>1.缺少</w:t>
            </w:r>
            <w:r>
              <w:rPr>
                <w:rFonts w:hint="default" w:ascii="Times New Roman" w:hAnsi="Times New Roman" w:eastAsia="仿宋" w:cs="Times New Roman"/>
                <w:spacing w:val="-3"/>
                <w:sz w:val="24"/>
                <w:szCs w:val="24"/>
              </w:rPr>
              <w:t>老</w:t>
            </w:r>
            <w:r>
              <w:rPr>
                <w:rFonts w:hint="default" w:ascii="Times New Roman" w:hAnsi="Times New Roman" w:eastAsia="仿宋" w:cs="Times New Roman"/>
                <w:spacing w:val="-2"/>
                <w:sz w:val="24"/>
                <w:szCs w:val="24"/>
              </w:rPr>
              <w:t>年餐桌、日间</w:t>
            </w:r>
            <w:r>
              <w:rPr>
                <w:rFonts w:hint="default" w:ascii="Times New Roman" w:hAnsi="Times New Roman" w:eastAsia="仿宋" w:cs="Times New Roman"/>
                <w:spacing w:val="-9"/>
                <w:sz w:val="24"/>
                <w:szCs w:val="24"/>
              </w:rPr>
              <w:t>生</w:t>
            </w:r>
            <w:r>
              <w:rPr>
                <w:rFonts w:hint="default" w:ascii="Times New Roman" w:hAnsi="Times New Roman" w:eastAsia="仿宋" w:cs="Times New Roman"/>
                <w:spacing w:val="-5"/>
                <w:sz w:val="24"/>
                <w:szCs w:val="24"/>
              </w:rPr>
              <w:t>活照料等服务功能。</w:t>
            </w:r>
          </w:p>
        </w:tc>
        <w:tc>
          <w:tcPr>
            <w:tcW w:w="5438" w:type="dxa"/>
            <w:vAlign w:val="center"/>
          </w:tcPr>
          <w:p w14:paraId="57E54AA3">
            <w:pPr>
              <w:spacing w:line="240" w:lineRule="auto"/>
              <w:ind w:firstLine="687"/>
              <w:jc w:val="both"/>
              <w:textAlignment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562225" cy="1781175"/>
                  <wp:effectExtent l="0" t="0" r="0" b="0"/>
                  <wp:docPr id="29" name="IM 29"/>
                  <wp:cNvGraphicFramePr/>
                  <a:graphic xmlns:a="http://schemas.openxmlformats.org/drawingml/2006/main">
                    <a:graphicData uri="http://schemas.openxmlformats.org/drawingml/2006/picture">
                      <pic:pic xmlns:pic="http://schemas.openxmlformats.org/drawingml/2006/picture">
                        <pic:nvPicPr>
                          <pic:cNvPr id="29" name="IM 29"/>
                          <pic:cNvPicPr>
                            <a:picLocks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2562225" cy="1781175"/>
                          </a:xfrm>
                          <a:prstGeom prst="rect">
                            <a:avLst/>
                          </a:prstGeom>
                          <a:noFill/>
                          <a:ln>
                            <a:noFill/>
                          </a:ln>
                        </pic:spPr>
                      </pic:pic>
                    </a:graphicData>
                  </a:graphic>
                </wp:inline>
              </w:drawing>
            </w:r>
          </w:p>
        </w:tc>
      </w:tr>
      <w:tr w14:paraId="6110F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8" w:hRule="atLeast"/>
          <w:jc w:val="center"/>
        </w:trPr>
        <w:tc>
          <w:tcPr>
            <w:tcW w:w="3090" w:type="dxa"/>
            <w:vMerge w:val="restart"/>
            <w:vAlign w:val="center"/>
          </w:tcPr>
          <w:p w14:paraId="6C6746F8">
            <w:pPr>
              <w:spacing w:line="240" w:lineRule="auto"/>
              <w:ind w:hanging="9"/>
              <w:jc w:val="center"/>
              <w:rPr>
                <w:rFonts w:hint="default" w:ascii="Times New Roman" w:hAnsi="Times New Roman" w:eastAsia="仿宋" w:cs="Times New Roman"/>
                <w:sz w:val="24"/>
                <w:szCs w:val="24"/>
              </w:rPr>
            </w:pPr>
            <w:r>
              <w:rPr>
                <w:rFonts w:hint="default" w:ascii="Times New Roman" w:hAnsi="Times New Roman" w:eastAsia="仿宋" w:cs="Times New Roman"/>
                <w:spacing w:val="-20"/>
                <w:sz w:val="24"/>
                <w:szCs w:val="24"/>
              </w:rPr>
              <w:t>2</w:t>
            </w:r>
            <w:r>
              <w:rPr>
                <w:rFonts w:hint="default" w:ascii="Times New Roman" w:hAnsi="Times New Roman" w:eastAsia="仿宋" w:cs="Times New Roman"/>
                <w:spacing w:val="-11"/>
                <w:sz w:val="24"/>
                <w:szCs w:val="24"/>
              </w:rPr>
              <w:t>.社区内60岁以上老</w:t>
            </w:r>
            <w:r>
              <w:rPr>
                <w:rFonts w:hint="default" w:ascii="Times New Roman" w:hAnsi="Times New Roman" w:eastAsia="仿宋" w:cs="Times New Roman"/>
                <w:spacing w:val="-18"/>
                <w:sz w:val="24"/>
                <w:szCs w:val="24"/>
              </w:rPr>
              <w:t>人</w:t>
            </w:r>
            <w:r>
              <w:rPr>
                <w:rFonts w:hint="default" w:ascii="Times New Roman" w:hAnsi="Times New Roman" w:eastAsia="仿宋" w:cs="Times New Roman"/>
                <w:spacing w:val="-12"/>
                <w:sz w:val="24"/>
                <w:szCs w:val="24"/>
              </w:rPr>
              <w:t>2300人，占总居民</w:t>
            </w:r>
            <w:r>
              <w:rPr>
                <w:rFonts w:hint="default" w:ascii="Times New Roman" w:hAnsi="Times New Roman" w:eastAsia="仿宋" w:cs="Times New Roman"/>
                <w:spacing w:val="-9"/>
                <w:sz w:val="24"/>
                <w:szCs w:val="24"/>
              </w:rPr>
              <w:t>人</w:t>
            </w:r>
            <w:r>
              <w:rPr>
                <w:rFonts w:hint="default" w:ascii="Times New Roman" w:hAnsi="Times New Roman" w:eastAsia="仿宋" w:cs="Times New Roman"/>
                <w:spacing w:val="-7"/>
                <w:sz w:val="24"/>
                <w:szCs w:val="24"/>
              </w:rPr>
              <w:t>数的20.7%，老年人</w:t>
            </w:r>
            <w:r>
              <w:rPr>
                <w:rFonts w:hint="default" w:ascii="Times New Roman" w:hAnsi="Times New Roman" w:eastAsia="仿宋" w:cs="Times New Roman"/>
                <w:spacing w:val="-4"/>
                <w:sz w:val="24"/>
                <w:szCs w:val="24"/>
              </w:rPr>
              <w:t>口</w:t>
            </w:r>
            <w:r>
              <w:rPr>
                <w:rFonts w:hint="default" w:ascii="Times New Roman" w:hAnsi="Times New Roman" w:eastAsia="仿宋" w:cs="Times New Roman"/>
                <w:spacing w:val="-3"/>
                <w:sz w:val="24"/>
                <w:szCs w:val="24"/>
              </w:rPr>
              <w:t>占</w:t>
            </w:r>
            <w:r>
              <w:rPr>
                <w:rFonts w:hint="default" w:ascii="Times New Roman" w:hAnsi="Times New Roman" w:eastAsia="仿宋" w:cs="Times New Roman"/>
                <w:spacing w:val="-2"/>
                <w:sz w:val="24"/>
                <w:szCs w:val="24"/>
              </w:rPr>
              <w:t>比较高。根据居民</w:t>
            </w:r>
          </w:p>
          <w:p w14:paraId="03CB83F3">
            <w:pPr>
              <w:spacing w:line="24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pacing w:val="-12"/>
                <w:sz w:val="24"/>
                <w:szCs w:val="24"/>
              </w:rPr>
              <w:t>问</w:t>
            </w:r>
            <w:r>
              <w:rPr>
                <w:rFonts w:hint="default" w:ascii="Times New Roman" w:hAnsi="Times New Roman" w:eastAsia="仿宋" w:cs="Times New Roman"/>
                <w:spacing w:val="-8"/>
                <w:sz w:val="24"/>
                <w:szCs w:val="24"/>
              </w:rPr>
              <w:t>卷</w:t>
            </w:r>
            <w:r>
              <w:rPr>
                <w:rFonts w:hint="default" w:ascii="Times New Roman" w:hAnsi="Times New Roman" w:eastAsia="仿宋" w:cs="Times New Roman"/>
                <w:spacing w:val="-6"/>
                <w:sz w:val="24"/>
                <w:szCs w:val="24"/>
              </w:rPr>
              <w:t>调查，老年餐桌、</w:t>
            </w:r>
            <w:r>
              <w:rPr>
                <w:rFonts w:hint="default" w:ascii="Times New Roman" w:hAnsi="Times New Roman" w:eastAsia="仿宋" w:cs="Times New Roman"/>
                <w:spacing w:val="-14"/>
                <w:sz w:val="24"/>
                <w:szCs w:val="24"/>
              </w:rPr>
              <w:t>日</w:t>
            </w:r>
            <w:r>
              <w:rPr>
                <w:rFonts w:hint="default" w:ascii="Times New Roman" w:hAnsi="Times New Roman" w:eastAsia="仿宋" w:cs="Times New Roman"/>
                <w:spacing w:val="-8"/>
                <w:sz w:val="24"/>
                <w:szCs w:val="24"/>
              </w:rPr>
              <w:t>间</w:t>
            </w:r>
            <w:r>
              <w:rPr>
                <w:rFonts w:hint="default" w:ascii="Times New Roman" w:hAnsi="Times New Roman" w:eastAsia="仿宋" w:cs="Times New Roman"/>
                <w:spacing w:val="-7"/>
                <w:sz w:val="24"/>
                <w:szCs w:val="24"/>
              </w:rPr>
              <w:t>照料、紧急救援需</w:t>
            </w:r>
            <w:r>
              <w:rPr>
                <w:rFonts w:hint="default" w:ascii="Times New Roman" w:hAnsi="Times New Roman" w:eastAsia="仿宋" w:cs="Times New Roman"/>
                <w:spacing w:val="-2"/>
                <w:sz w:val="24"/>
                <w:szCs w:val="24"/>
              </w:rPr>
              <w:t>求量较大，现有设施有</w:t>
            </w:r>
            <w:r>
              <w:rPr>
                <w:rFonts w:hint="default" w:ascii="Times New Roman" w:hAnsi="Times New Roman" w:eastAsia="仿宋" w:cs="Times New Roman"/>
                <w:spacing w:val="-11"/>
                <w:sz w:val="24"/>
                <w:szCs w:val="24"/>
              </w:rPr>
              <w:t>待</w:t>
            </w:r>
            <w:r>
              <w:rPr>
                <w:rFonts w:hint="default" w:ascii="Times New Roman" w:hAnsi="Times New Roman" w:eastAsia="仿宋" w:cs="Times New Roman"/>
                <w:spacing w:val="-10"/>
                <w:sz w:val="24"/>
                <w:szCs w:val="24"/>
              </w:rPr>
              <w:t>完善。</w:t>
            </w:r>
          </w:p>
        </w:tc>
        <w:tc>
          <w:tcPr>
            <w:tcW w:w="5438" w:type="dxa"/>
            <w:vAlign w:val="center"/>
          </w:tcPr>
          <w:p w14:paraId="7C22C571">
            <w:pPr>
              <w:spacing w:line="240" w:lineRule="auto"/>
              <w:ind w:firstLine="727"/>
              <w:jc w:val="both"/>
              <w:textAlignment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524125" cy="188595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a:picLocks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2524125" cy="1885950"/>
                          </a:xfrm>
                          <a:prstGeom prst="rect">
                            <a:avLst/>
                          </a:prstGeom>
                          <a:noFill/>
                          <a:ln>
                            <a:noFill/>
                          </a:ln>
                        </pic:spPr>
                      </pic:pic>
                    </a:graphicData>
                  </a:graphic>
                </wp:inline>
              </w:drawing>
            </w:r>
          </w:p>
        </w:tc>
      </w:tr>
      <w:tr w14:paraId="2E1694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8" w:hRule="atLeast"/>
          <w:jc w:val="center"/>
        </w:trPr>
        <w:tc>
          <w:tcPr>
            <w:tcW w:w="3090" w:type="dxa"/>
            <w:vMerge w:val="continue"/>
            <w:vAlign w:val="center"/>
          </w:tcPr>
          <w:p w14:paraId="073BEA9C">
            <w:pPr>
              <w:spacing w:line="240" w:lineRule="auto"/>
              <w:jc w:val="center"/>
              <w:rPr>
                <w:rFonts w:hint="default" w:ascii="Times New Roman" w:hAnsi="Times New Roman" w:eastAsia="仿宋" w:cs="Times New Roman"/>
                <w:spacing w:val="-12"/>
                <w:sz w:val="24"/>
                <w:szCs w:val="24"/>
              </w:rPr>
            </w:pPr>
          </w:p>
        </w:tc>
        <w:tc>
          <w:tcPr>
            <w:tcW w:w="5438" w:type="dxa"/>
            <w:vAlign w:val="center"/>
          </w:tcPr>
          <w:p w14:paraId="563FE9EE">
            <w:pPr>
              <w:spacing w:line="240" w:lineRule="auto"/>
              <w:ind w:firstLine="727"/>
              <w:jc w:val="both"/>
              <w:textAlignment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514600" cy="1866900"/>
                  <wp:effectExtent l="0" t="0" r="0" b="0"/>
                  <wp:docPr id="31" name="IM 31"/>
                  <wp:cNvGraphicFramePr/>
                  <a:graphic xmlns:a="http://schemas.openxmlformats.org/drawingml/2006/main">
                    <a:graphicData uri="http://schemas.openxmlformats.org/drawingml/2006/picture">
                      <pic:pic xmlns:pic="http://schemas.openxmlformats.org/drawingml/2006/picture">
                        <pic:nvPicPr>
                          <pic:cNvPr id="31" name="IM 31"/>
                          <pic:cNvPicPr>
                            <a:picLocks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2514600" cy="1866900"/>
                          </a:xfrm>
                          <a:prstGeom prst="rect">
                            <a:avLst/>
                          </a:prstGeom>
                          <a:noFill/>
                          <a:ln>
                            <a:noFill/>
                          </a:ln>
                        </pic:spPr>
                      </pic:pic>
                    </a:graphicData>
                  </a:graphic>
                </wp:inline>
              </w:drawing>
            </w:r>
          </w:p>
        </w:tc>
      </w:tr>
    </w:tbl>
    <w:p w14:paraId="261DFE49">
      <w:pPr>
        <w:spacing w:line="360" w:lineRule="auto"/>
        <w:rPr>
          <w:rFonts w:hint="default" w:ascii="Times New Roman" w:hAnsi="Times New Roman" w:eastAsia="仿宋_GB2312" w:cs="Times New Roman"/>
          <w:sz w:val="32"/>
          <w:szCs w:val="32"/>
        </w:rPr>
      </w:pPr>
    </w:p>
    <w:p w14:paraId="5FC568DE">
      <w:pPr>
        <w:spacing w:line="360" w:lineRule="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2"/>
          <w:sz w:val="32"/>
          <w:szCs w:val="32"/>
        </w:rPr>
        <w:t>指标12：未达标配建的婴幼儿照护服务设施数量（个）</w:t>
      </w:r>
    </w:p>
    <w:p w14:paraId="7DC590BC">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1BB47080">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按照《托育机构设置标准（试行）》《完整居住社区建设标准（试行）》等标准，查找婴幼儿照护服务设施配建缺失，以及对婴幼儿早期发展指导等照护服务不到位的问题。</w:t>
      </w:r>
    </w:p>
    <w:p w14:paraId="4BC805DB">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55079E7E">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查找社区内是否配建婴幼儿照护服务设施（婴幼儿照护服务设施既包含政府出资建设的设施，也包含社会资本出资、政府联合社会资本出资等方式建设的设施。常住人口小于5000人的社区与周边社区统筹设置，不单独进行此项指标统计）。</w:t>
      </w:r>
    </w:p>
    <w:p w14:paraId="28092BB3">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查找婴幼儿照护服务设施是否符合《托育机构设置标准（试行）》《完整居住社区建设标准（试行）》等标准提出的配置要求。既有社区可结合社区综合服务站、住宅楼、企事业单位办公楼等建设婴幼儿照护设施，新建社区服务居住人口为5000—12000人时，按标准配建养老服务设施的建筑面积不小于200平方米。</w:t>
      </w:r>
    </w:p>
    <w:p w14:paraId="4BF83A8D">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3</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查找婴幼儿照护服务设施对婴幼儿早期发展指导等照护服务不到位的问题。</w:t>
      </w:r>
    </w:p>
    <w:p w14:paraId="7E748F02">
      <w:pPr>
        <w:spacing w:line="360" w:lineRule="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【体检方法】</w:t>
      </w:r>
    </w:p>
    <w:p w14:paraId="0ADBB1EF">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数量面积：由社区提供，或按地图（高分遥感影像）测量。</w:t>
      </w:r>
    </w:p>
    <w:p w14:paraId="25EDB219">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设施情况：社区管理员或专业人员现场调研填报。</w:t>
      </w:r>
    </w:p>
    <w:p w14:paraId="69130BC8">
      <w:pPr>
        <w:pStyle w:val="2"/>
        <w:ind w:firstLine="480"/>
        <w:rPr>
          <w:rFonts w:hint="default" w:ascii="Times New Roman" w:hAnsi="Times New Roman" w:eastAsia="仿宋_GB2312" w:cs="Times New Roman"/>
          <w:sz w:val="32"/>
          <w:szCs w:val="32"/>
        </w:rPr>
      </w:pPr>
    </w:p>
    <w:p w14:paraId="354A4F09">
      <w:pPr>
        <w:spacing w:line="360" w:lineRule="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指标</w:t>
      </w:r>
      <w:r>
        <w:rPr>
          <w:rFonts w:hint="default" w:ascii="Times New Roman" w:hAnsi="Times New Roman" w:eastAsia="仿宋_GB2312" w:cs="Times New Roman"/>
          <w:b/>
          <w:bCs/>
          <w:spacing w:val="2"/>
          <w:sz w:val="32"/>
          <w:szCs w:val="32"/>
        </w:rPr>
        <w:t>13：未达标配建的幼儿园数量（个）</w:t>
      </w:r>
    </w:p>
    <w:p w14:paraId="363BFB14">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5C748F60">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按照《幼儿园建设标准》《完整居住社区建设标准（试行）》等标准，查找幼儿园配建缺失，以及普惠性学前教育服务不到位的问题。</w:t>
      </w:r>
    </w:p>
    <w:p w14:paraId="4D0CC899">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6BDBCB0C">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查找社区内是否配建幼儿园（幼儿园既包含政府出资建设的设施，也包含社会资本出资、政府联合社会资本出资等方式建设的设施。常住人口小于5000人的社区与周边社区统筹设置，不单独进行此项指标统计）。</w:t>
      </w:r>
    </w:p>
    <w:p w14:paraId="4B27C897">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查找幼儿园是否符合《幼儿园建设标准》《完整居住社区建设标准（试行）》提出的面积指标要求。按照《幼儿园建设标准》（建标175-2016）配置建设幼儿园，原则上不小于6班，建筑面积不小于2200平方米，用地面积不小于3500平方米。</w:t>
      </w:r>
    </w:p>
    <w:p w14:paraId="7C14A53D">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3</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查找幼儿园是否存在普惠性学前教育服务不到位的问题。</w:t>
      </w:r>
    </w:p>
    <w:p w14:paraId="0C688454">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79D6B46A">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数量面积：由社区提供，或按地图（高分遥感影像）测量。</w:t>
      </w:r>
    </w:p>
    <w:p w14:paraId="76555A1E">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设施情况：社区管理员或专业人员现场调研填报。</w:t>
      </w:r>
    </w:p>
    <w:p w14:paraId="152E9045">
      <w:pPr>
        <w:pStyle w:val="2"/>
        <w:ind w:firstLine="480"/>
        <w:rPr>
          <w:rFonts w:hint="default" w:ascii="Times New Roman" w:hAnsi="Times New Roman" w:eastAsia="仿宋_GB2312" w:cs="Times New Roman"/>
          <w:sz w:val="32"/>
          <w:szCs w:val="32"/>
        </w:rPr>
      </w:pPr>
    </w:p>
    <w:p w14:paraId="24E22171">
      <w:pPr>
        <w:spacing w:line="360" w:lineRule="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指标14</w:t>
      </w:r>
      <w:r>
        <w:rPr>
          <w:rFonts w:hint="default" w:ascii="Times New Roman" w:hAnsi="Times New Roman" w:eastAsia="仿宋_GB2312" w:cs="Times New Roman"/>
          <w:b/>
          <w:bCs/>
          <w:spacing w:val="2"/>
          <w:sz w:val="32"/>
          <w:szCs w:val="32"/>
        </w:rPr>
        <w:t>：小学学位缺口数（个）</w:t>
      </w:r>
    </w:p>
    <w:p w14:paraId="0B366C80">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69DDD2F4">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以小学500米服务半径覆盖范围为原则，查找小学学位供给与适龄儿童就近入学需求方面的差距和不足。</w:t>
      </w:r>
    </w:p>
    <w:p w14:paraId="214EEF26">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6237A495">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依据《城市居住区规划设计标准》</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GB50180-2018）规定小学服务半径不宜大于500米服务半径的要求进行计算，是否覆盖全部社区范围。</w:t>
      </w:r>
    </w:p>
    <w:p w14:paraId="2C38B197">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是否存在小学学位供给与所在社区的适龄儿童就近入学需求方面的差距和不足。</w:t>
      </w:r>
    </w:p>
    <w:p w14:paraId="6ED90EA7">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6FA1679E">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数量面积：由社区提供，或按地图（高分遥感影像）测量。</w:t>
      </w:r>
    </w:p>
    <w:p w14:paraId="62EDC624">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设施情况：社区管理员或专业人员现场调研填报。</w:t>
      </w:r>
    </w:p>
    <w:p w14:paraId="26D91B5C">
      <w:pPr>
        <w:pStyle w:val="2"/>
        <w:ind w:firstLine="480"/>
        <w:rPr>
          <w:rFonts w:hint="default" w:ascii="Times New Roman" w:hAnsi="Times New Roman" w:eastAsia="仿宋_GB2312" w:cs="Times New Roman"/>
          <w:sz w:val="32"/>
          <w:szCs w:val="32"/>
        </w:rPr>
      </w:pPr>
    </w:p>
    <w:p w14:paraId="7BE454ED">
      <w:pPr>
        <w:spacing w:line="360" w:lineRule="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指标15</w:t>
      </w:r>
      <w:r>
        <w:rPr>
          <w:rFonts w:hint="default" w:ascii="Times New Roman" w:hAnsi="Times New Roman" w:eastAsia="仿宋_GB2312" w:cs="Times New Roman"/>
          <w:b/>
          <w:bCs/>
          <w:spacing w:val="2"/>
          <w:sz w:val="32"/>
          <w:szCs w:val="32"/>
        </w:rPr>
        <w:t>：停车泊位缺口数（个）</w:t>
      </w:r>
    </w:p>
    <w:p w14:paraId="65338FB4">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24C70B25">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按照《城市停车规划规范》《完整居住社区建设标准（试行）》等标准，查找现有停车泊位与小区居民停车需求的差距，以及停车占用消防通道等方面的问题。</w:t>
      </w:r>
    </w:p>
    <w:p w14:paraId="17737289">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5E7B7623">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停车泊位缺口数</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个</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=居民停车需求数</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个</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-现有停车泊位数</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个</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w:t>
      </w:r>
    </w:p>
    <w:p w14:paraId="7DCFC9A8">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计算单元为小区（注：针对部分住宅建筑未围合形成小区的，可基于停车泊位统计范围基础上，满足充电桩预留安装条件的即纳入统计范围）。</w:t>
      </w:r>
    </w:p>
    <w:p w14:paraId="62A7BC65">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3</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是否存在停车占用消防通道等方面的问题。</w:t>
      </w:r>
    </w:p>
    <w:p w14:paraId="601A780E">
      <w:pPr>
        <w:spacing w:line="360" w:lineRule="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【体检方法】</w:t>
      </w:r>
    </w:p>
    <w:p w14:paraId="7E579429">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数量：小区物业提供，社区管理员或专业人员现场调研填报。</w:t>
      </w:r>
    </w:p>
    <w:p w14:paraId="655A0E90">
      <w:pPr>
        <w:spacing w:line="360" w:lineRule="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【示范案例】</w:t>
      </w:r>
    </w:p>
    <w:p w14:paraId="0E551FFA">
      <w:pPr>
        <w:pStyle w:val="2"/>
        <w:rPr>
          <w:rFonts w:hint="default" w:ascii="Times New Roman" w:hAnsi="Times New Roman" w:cs="Times New Roman"/>
        </w:rPr>
      </w:pPr>
    </w:p>
    <w:p w14:paraId="3B9ED73F">
      <w:pPr>
        <w:spacing w:line="360" w:lineRule="auto"/>
        <w:jc w:val="center"/>
        <w:rPr>
          <w:rFonts w:hint="default" w:ascii="Times New Roman" w:hAnsi="Times New Roman" w:eastAsia="仿宋_GB2312" w:cs="Times New Roman"/>
          <w:b/>
          <w:bCs/>
          <w:spacing w:val="1"/>
          <w:sz w:val="32"/>
          <w:szCs w:val="32"/>
        </w:rPr>
      </w:pPr>
      <w:r>
        <w:rPr>
          <w:rFonts w:hint="default" w:ascii="Times New Roman" w:hAnsi="Times New Roman" w:eastAsia="仿宋_GB2312" w:cs="Times New Roman"/>
          <w:b/>
          <w:bCs/>
          <w:spacing w:val="2"/>
          <w:sz w:val="32"/>
          <w:szCs w:val="32"/>
        </w:rPr>
        <w:t>_</w:t>
      </w:r>
      <w:r>
        <w:rPr>
          <w:rFonts w:hint="default" w:ascii="Times New Roman" w:hAnsi="Times New Roman" w:eastAsia="仿宋_GB2312" w:cs="Times New Roman"/>
          <w:b/>
          <w:bCs/>
          <w:spacing w:val="1"/>
          <w:sz w:val="32"/>
          <w:szCs w:val="32"/>
        </w:rPr>
        <w:t>____社区维度具体问题</w:t>
      </w:r>
    </w:p>
    <w:p w14:paraId="4B1E6B47">
      <w:pPr>
        <w:pStyle w:val="2"/>
        <w:rPr>
          <w:rFonts w:hint="default" w:ascii="Times New Roman" w:hAnsi="Times New Roman" w:cs="Times New Roman"/>
        </w:rPr>
      </w:pPr>
    </w:p>
    <w:tbl>
      <w:tblPr>
        <w:tblStyle w:val="57"/>
        <w:tblW w:w="852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03"/>
        <w:gridCol w:w="5925"/>
      </w:tblGrid>
      <w:tr w14:paraId="5BCF63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83" w:hRule="atLeast"/>
          <w:jc w:val="center"/>
        </w:trPr>
        <w:tc>
          <w:tcPr>
            <w:tcW w:w="2603" w:type="dxa"/>
            <w:vAlign w:val="center"/>
          </w:tcPr>
          <w:p w14:paraId="5E95BEE6">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4"/>
                <w:sz w:val="24"/>
                <w:szCs w:val="24"/>
              </w:rPr>
              <w:t>问题</w:t>
            </w:r>
          </w:p>
        </w:tc>
        <w:tc>
          <w:tcPr>
            <w:tcW w:w="5925" w:type="dxa"/>
            <w:vAlign w:val="center"/>
          </w:tcPr>
          <w:p w14:paraId="6C25E9AC">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11"/>
                <w:sz w:val="24"/>
                <w:szCs w:val="24"/>
              </w:rPr>
              <w:t>图</w:t>
            </w:r>
            <w:r>
              <w:rPr>
                <w:rFonts w:hint="default" w:ascii="Times New Roman" w:hAnsi="Times New Roman" w:eastAsia="仿宋" w:cs="Times New Roman"/>
                <w:b/>
                <w:bCs/>
                <w:spacing w:val="-10"/>
                <w:sz w:val="24"/>
                <w:szCs w:val="24"/>
              </w:rPr>
              <w:t>片照片</w:t>
            </w:r>
          </w:p>
        </w:tc>
      </w:tr>
      <w:tr w14:paraId="12E8F2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5" w:hRule="atLeast"/>
          <w:jc w:val="center"/>
        </w:trPr>
        <w:tc>
          <w:tcPr>
            <w:tcW w:w="2603" w:type="dxa"/>
            <w:vAlign w:val="center"/>
          </w:tcPr>
          <w:p w14:paraId="681255A6">
            <w:pPr>
              <w:spacing w:line="240" w:lineRule="auto"/>
              <w:ind w:firstLine="14"/>
              <w:jc w:val="center"/>
              <w:rPr>
                <w:rFonts w:hint="default" w:ascii="Times New Roman" w:hAnsi="Times New Roman" w:eastAsia="仿宋" w:cs="Times New Roman"/>
                <w:sz w:val="24"/>
                <w:szCs w:val="24"/>
              </w:rPr>
            </w:pPr>
            <w:r>
              <w:rPr>
                <w:rFonts w:hint="default" w:ascii="Times New Roman" w:hAnsi="Times New Roman" w:eastAsia="仿宋" w:cs="Times New Roman"/>
                <w:spacing w:val="-22"/>
                <w:sz w:val="24"/>
                <w:szCs w:val="24"/>
              </w:rPr>
              <w:t>1</w:t>
            </w:r>
            <w:r>
              <w:rPr>
                <w:rFonts w:hint="default" w:ascii="Times New Roman" w:hAnsi="Times New Roman" w:eastAsia="仿宋" w:cs="Times New Roman"/>
                <w:spacing w:val="-16"/>
                <w:sz w:val="24"/>
                <w:szCs w:val="24"/>
              </w:rPr>
              <w:t>.小区内环路、宅前</w:t>
            </w:r>
            <w:r>
              <w:rPr>
                <w:rFonts w:hint="default" w:ascii="Times New Roman" w:hAnsi="Times New Roman" w:eastAsia="仿宋" w:cs="Times New Roman"/>
                <w:spacing w:val="16"/>
                <w:sz w:val="24"/>
                <w:szCs w:val="24"/>
              </w:rPr>
              <w:t>路存在严重违规</w:t>
            </w:r>
            <w:r>
              <w:rPr>
                <w:rFonts w:hint="default" w:ascii="Times New Roman" w:hAnsi="Times New Roman" w:eastAsia="仿宋" w:cs="Times New Roman"/>
                <w:spacing w:val="14"/>
                <w:sz w:val="24"/>
                <w:szCs w:val="24"/>
              </w:rPr>
              <w:t>停</w:t>
            </w:r>
            <w:r>
              <w:rPr>
                <w:rFonts w:hint="default" w:ascii="Times New Roman" w:hAnsi="Times New Roman" w:eastAsia="仿宋" w:cs="Times New Roman"/>
                <w:spacing w:val="-24"/>
                <w:sz w:val="24"/>
                <w:szCs w:val="24"/>
              </w:rPr>
              <w:t>车</w:t>
            </w:r>
            <w:r>
              <w:rPr>
                <w:rFonts w:hint="default" w:ascii="Times New Roman" w:hAnsi="Times New Roman" w:eastAsia="仿宋" w:cs="Times New Roman"/>
                <w:spacing w:val="-16"/>
                <w:sz w:val="24"/>
                <w:szCs w:val="24"/>
              </w:rPr>
              <w:t>，影响生命线通道</w:t>
            </w:r>
            <w:r>
              <w:rPr>
                <w:rFonts w:hint="default" w:ascii="Times New Roman" w:hAnsi="Times New Roman" w:eastAsia="仿宋" w:cs="Times New Roman"/>
                <w:spacing w:val="-8"/>
                <w:sz w:val="24"/>
                <w:szCs w:val="24"/>
              </w:rPr>
              <w:t>的</w:t>
            </w:r>
            <w:r>
              <w:rPr>
                <w:rFonts w:hint="default" w:ascii="Times New Roman" w:hAnsi="Times New Roman" w:eastAsia="仿宋" w:cs="Times New Roman"/>
                <w:spacing w:val="-5"/>
                <w:sz w:val="24"/>
                <w:szCs w:val="24"/>
              </w:rPr>
              <w:t>功能畅通。</w:t>
            </w:r>
          </w:p>
        </w:tc>
        <w:tc>
          <w:tcPr>
            <w:tcW w:w="5925" w:type="dxa"/>
            <w:vAlign w:val="center"/>
          </w:tcPr>
          <w:p w14:paraId="469D155F">
            <w:pPr>
              <w:spacing w:line="240" w:lineRule="auto"/>
              <w:ind w:firstLine="880"/>
              <w:jc w:val="both"/>
              <w:textAlignment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638425" cy="2019300"/>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a:picLocks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2638425" cy="2019300"/>
                          </a:xfrm>
                          <a:prstGeom prst="rect">
                            <a:avLst/>
                          </a:prstGeom>
                          <a:noFill/>
                          <a:ln>
                            <a:noFill/>
                          </a:ln>
                        </pic:spPr>
                      </pic:pic>
                    </a:graphicData>
                  </a:graphic>
                </wp:inline>
              </w:drawing>
            </w:r>
          </w:p>
        </w:tc>
      </w:tr>
      <w:tr w14:paraId="6BDA04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7" w:hRule="atLeast"/>
          <w:jc w:val="center"/>
        </w:trPr>
        <w:tc>
          <w:tcPr>
            <w:tcW w:w="2603" w:type="dxa"/>
            <w:vAlign w:val="center"/>
          </w:tcPr>
          <w:p w14:paraId="69C3B53D">
            <w:pPr>
              <w:spacing w:line="240" w:lineRule="auto"/>
              <w:ind w:firstLine="4"/>
              <w:jc w:val="center"/>
              <w:rPr>
                <w:rFonts w:hint="default" w:ascii="Times New Roman" w:hAnsi="Times New Roman" w:eastAsia="仿宋" w:cs="Times New Roman"/>
                <w:sz w:val="24"/>
                <w:szCs w:val="24"/>
              </w:rPr>
            </w:pPr>
            <w:r>
              <w:rPr>
                <w:rFonts w:hint="default" w:ascii="Times New Roman" w:hAnsi="Times New Roman" w:eastAsia="仿宋" w:cs="Times New Roman"/>
                <w:spacing w:val="-18"/>
                <w:sz w:val="24"/>
                <w:szCs w:val="24"/>
              </w:rPr>
              <w:t>2</w:t>
            </w:r>
            <w:r>
              <w:rPr>
                <w:rFonts w:hint="default" w:ascii="Times New Roman" w:hAnsi="Times New Roman" w:eastAsia="仿宋" w:cs="Times New Roman"/>
                <w:spacing w:val="-13"/>
                <w:sz w:val="24"/>
                <w:szCs w:val="24"/>
              </w:rPr>
              <w:t>.*区、*区存在机动</w:t>
            </w:r>
            <w:r>
              <w:rPr>
                <w:rFonts w:hint="default" w:ascii="Times New Roman" w:hAnsi="Times New Roman" w:eastAsia="仿宋" w:cs="Times New Roman"/>
                <w:spacing w:val="-16"/>
                <w:sz w:val="24"/>
                <w:szCs w:val="24"/>
              </w:rPr>
              <w:t>车占用消防通道，共</w:t>
            </w:r>
            <w:r>
              <w:rPr>
                <w:rFonts w:hint="default" w:ascii="Times New Roman" w:hAnsi="Times New Roman" w:eastAsia="仿宋" w:cs="Times New Roman"/>
                <w:spacing w:val="-9"/>
                <w:sz w:val="24"/>
                <w:szCs w:val="24"/>
              </w:rPr>
              <w:t>*辆。</w:t>
            </w:r>
          </w:p>
        </w:tc>
        <w:tc>
          <w:tcPr>
            <w:tcW w:w="5925" w:type="dxa"/>
            <w:vAlign w:val="center"/>
          </w:tcPr>
          <w:p w14:paraId="6CF41EC3">
            <w:pPr>
              <w:spacing w:line="240" w:lineRule="auto"/>
              <w:ind w:firstLine="857"/>
              <w:jc w:val="both"/>
              <w:textAlignment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667000" cy="1914525"/>
                  <wp:effectExtent l="0" t="0" r="0" b="0"/>
                  <wp:docPr id="33" name="IM 33"/>
                  <wp:cNvGraphicFramePr/>
                  <a:graphic xmlns:a="http://schemas.openxmlformats.org/drawingml/2006/main">
                    <a:graphicData uri="http://schemas.openxmlformats.org/drawingml/2006/picture">
                      <pic:pic xmlns:pic="http://schemas.openxmlformats.org/drawingml/2006/picture">
                        <pic:nvPicPr>
                          <pic:cNvPr id="33" name="IM 33"/>
                          <pic:cNvPicPr>
                            <a:picLocks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2667000" cy="1914525"/>
                          </a:xfrm>
                          <a:prstGeom prst="rect">
                            <a:avLst/>
                          </a:prstGeom>
                          <a:noFill/>
                          <a:ln>
                            <a:noFill/>
                          </a:ln>
                        </pic:spPr>
                      </pic:pic>
                    </a:graphicData>
                  </a:graphic>
                </wp:inline>
              </w:drawing>
            </w:r>
          </w:p>
        </w:tc>
      </w:tr>
    </w:tbl>
    <w:p w14:paraId="313FE996">
      <w:pPr>
        <w:spacing w:line="360" w:lineRule="auto"/>
        <w:rPr>
          <w:rFonts w:hint="default" w:ascii="Times New Roman" w:hAnsi="Times New Roman" w:eastAsia="楷体" w:cs="Times New Roman"/>
          <w:spacing w:val="4"/>
          <w:sz w:val="24"/>
          <w:szCs w:val="24"/>
        </w:rPr>
      </w:pPr>
    </w:p>
    <w:p w14:paraId="57ACBAA7">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指标</w:t>
      </w:r>
      <w:r>
        <w:rPr>
          <w:rFonts w:hint="default" w:ascii="Times New Roman" w:hAnsi="Times New Roman" w:eastAsia="仿宋_GB2312" w:cs="Times New Roman"/>
          <w:b/>
          <w:bCs/>
          <w:spacing w:val="2"/>
          <w:sz w:val="32"/>
          <w:szCs w:val="32"/>
        </w:rPr>
        <w:t>16：新能源汽车充电桩缺口数（个）</w:t>
      </w:r>
    </w:p>
    <w:p w14:paraId="08ACACA5">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34E6EA1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按照《电动汽车分散充电设施工程技术标准》《完整居住社区建设标准（试行）》等标准，查找现有充电桩供给能力与小区居民新能源汽车充电需求的差距，以及充电桩在安装、使用、运维过程中存在的问题。</w:t>
      </w:r>
    </w:p>
    <w:p w14:paraId="6F24A6B8">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01650EB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新能源汽车充电桩缺口</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个</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=居民充电桩需求数</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个</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-现状新能源汽车充电桩数</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个</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w:t>
      </w:r>
    </w:p>
    <w:p w14:paraId="161396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计算单元为小区（注：针对部分住宅建筑未围合形成小区的，可基于停车泊位统计范围基础上，满足充电桩预留安装条件的即纳入统计范围）。</w:t>
      </w:r>
    </w:p>
    <w:p w14:paraId="0BF4234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3</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小区内居民充电需求数应综合考虑小区内居民新能源汽车保有量、2025年预计保有量（未来增量）、小区公桩/私桩的建设条件等因素确定。</w:t>
      </w:r>
    </w:p>
    <w:p w14:paraId="49FC46C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4</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现有新能源汽车充电桩数统计应包括小区内私人充电桩数量与公共充电桩数量。</w:t>
      </w:r>
    </w:p>
    <w:p w14:paraId="715186E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5</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是否存在安装、使用、运维过程的问题。</w:t>
      </w:r>
    </w:p>
    <w:p w14:paraId="31648C11">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6DE1848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数量：小区物业提供，社区管理员或专业人员现场调研填报。</w:t>
      </w:r>
    </w:p>
    <w:p w14:paraId="24DCEB45">
      <w:pPr>
        <w:pStyle w:val="2"/>
        <w:keepNext w:val="0"/>
        <w:keepLines w:val="0"/>
        <w:pageBreakBefore w:val="0"/>
        <w:widowControl w:val="0"/>
        <w:kinsoku/>
        <w:wordWrap/>
        <w:overflowPunct/>
        <w:topLinePunct w:val="0"/>
        <w:autoSpaceDE/>
        <w:autoSpaceDN/>
        <w:bidi w:val="0"/>
        <w:adjustRightInd/>
        <w:snapToGrid/>
        <w:spacing w:line="600" w:lineRule="exact"/>
        <w:ind w:firstLine="480"/>
        <w:textAlignment w:val="auto"/>
        <w:rPr>
          <w:rFonts w:hint="default" w:ascii="Times New Roman" w:hAnsi="Times New Roman" w:eastAsia="仿宋_GB2312" w:cs="Times New Roman"/>
          <w:sz w:val="32"/>
          <w:szCs w:val="32"/>
        </w:rPr>
      </w:pPr>
    </w:p>
    <w:p w14:paraId="20D864A3">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w:t>
      </w:r>
      <w:r>
        <w:rPr>
          <w:rFonts w:hint="default" w:ascii="Times New Roman" w:hAnsi="Times New Roman" w:eastAsia="仿宋_GB2312" w:cs="Times New Roman"/>
          <w:b/>
          <w:bCs/>
          <w:spacing w:val="3"/>
          <w:sz w:val="32"/>
          <w:szCs w:val="32"/>
        </w:rPr>
        <w:t>标</w:t>
      </w:r>
      <w:r>
        <w:rPr>
          <w:rFonts w:hint="default" w:ascii="Times New Roman" w:hAnsi="Times New Roman" w:eastAsia="仿宋_GB2312" w:cs="Times New Roman"/>
          <w:b/>
          <w:bCs/>
          <w:spacing w:val="2"/>
          <w:sz w:val="32"/>
          <w:szCs w:val="32"/>
        </w:rPr>
        <w:t>17：未达标配建的公共活动场地数量（个）</w:t>
      </w:r>
    </w:p>
    <w:p w14:paraId="014E569D">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19C15E5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城市居住区规划设计标准》《完整居住社区建设标准（试行）》等标准，查找社区公共活动场地、公共绿地面积不达标，配套的儿童娱乐、老年活动、体育健身等设施设备不充足或破损，不符合无障碍设计要求，以及存在私搭乱建等问题。</w:t>
      </w:r>
    </w:p>
    <w:p w14:paraId="4FE298C7">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2CAB37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公共活动场地面积是否达标。按照《完整居住社区建设标准（试行）》标准规定，既有社区，用地面积不小于150平方米；新建社区，用地面积不小于800平方米。</w:t>
      </w:r>
    </w:p>
    <w:p w14:paraId="262B746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公共绿地面积是否达标。按照《完整居住社区建设标准（试行）》标准规定，既有社区至少有一片公共绿地；新建社区，用地面积不小于4000平方米。</w:t>
      </w:r>
    </w:p>
    <w:p w14:paraId="502BE82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3</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是否存在以下设施设备不充足或破损（儿童娱乐、老年活动、体育健身设施）。</w:t>
      </w:r>
    </w:p>
    <w:p w14:paraId="26BFB4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4</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是否符合无障碍设计要求。</w:t>
      </w:r>
    </w:p>
    <w:p w14:paraId="596F467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5</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是否存在私搭乱建问题。</w:t>
      </w:r>
    </w:p>
    <w:p w14:paraId="0E71733F">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2E81F61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数量面积：由社区提供，或按地图（高分遥感影像）测量。</w:t>
      </w:r>
    </w:p>
    <w:p w14:paraId="5D3685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设施情况：社区管理员或专业人员现场调研填报。</w:t>
      </w:r>
    </w:p>
    <w:p w14:paraId="12A1D139">
      <w:pPr>
        <w:spacing w:line="360" w:lineRule="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【示范案例】</w:t>
      </w:r>
    </w:p>
    <w:p w14:paraId="392A65EC">
      <w:pPr>
        <w:rPr>
          <w:rFonts w:hint="default" w:ascii="Times New Roman" w:hAnsi="Times New Roman" w:eastAsia="仿宋_GB2312" w:cs="Times New Roman"/>
          <w:b/>
          <w:bCs/>
          <w:spacing w:val="2"/>
          <w:sz w:val="32"/>
          <w:szCs w:val="32"/>
        </w:rPr>
      </w:pPr>
      <w:r>
        <w:rPr>
          <w:rFonts w:hint="default" w:ascii="Times New Roman" w:hAnsi="Times New Roman" w:eastAsia="仿宋_GB2312" w:cs="Times New Roman"/>
          <w:b/>
          <w:bCs/>
          <w:spacing w:val="2"/>
          <w:sz w:val="32"/>
          <w:szCs w:val="32"/>
        </w:rPr>
        <w:br w:type="page"/>
      </w:r>
    </w:p>
    <w:p w14:paraId="6B180625">
      <w:pPr>
        <w:spacing w:line="360" w:lineRule="auto"/>
        <w:jc w:val="center"/>
        <w:rPr>
          <w:rFonts w:hint="default" w:ascii="Times New Roman" w:hAnsi="Times New Roman" w:eastAsia="仿宋_GB2312" w:cs="Times New Roman"/>
          <w:b/>
          <w:bCs/>
          <w:spacing w:val="1"/>
          <w:sz w:val="32"/>
          <w:szCs w:val="32"/>
        </w:rPr>
      </w:pPr>
      <w:r>
        <w:rPr>
          <w:rFonts w:hint="default" w:ascii="Times New Roman" w:hAnsi="Times New Roman" w:eastAsia="仿宋_GB2312" w:cs="Times New Roman"/>
          <w:b/>
          <w:bCs/>
          <w:spacing w:val="2"/>
          <w:sz w:val="32"/>
          <w:szCs w:val="32"/>
        </w:rPr>
        <w:t>_</w:t>
      </w:r>
      <w:r>
        <w:rPr>
          <w:rFonts w:hint="default" w:ascii="Times New Roman" w:hAnsi="Times New Roman" w:eastAsia="仿宋_GB2312" w:cs="Times New Roman"/>
          <w:b/>
          <w:bCs/>
          <w:spacing w:val="1"/>
          <w:sz w:val="32"/>
          <w:szCs w:val="32"/>
        </w:rPr>
        <w:t>____社区维度具体问题</w:t>
      </w:r>
    </w:p>
    <w:p w14:paraId="355A6590">
      <w:pPr>
        <w:pStyle w:val="2"/>
        <w:rPr>
          <w:rFonts w:hint="default" w:ascii="Times New Roman" w:hAnsi="Times New Roman" w:cs="Times New Roman"/>
        </w:rPr>
      </w:pPr>
    </w:p>
    <w:tbl>
      <w:tblPr>
        <w:tblStyle w:val="57"/>
        <w:tblW w:w="864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50"/>
        <w:gridCol w:w="6098"/>
      </w:tblGrid>
      <w:tr w14:paraId="4FF10F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jc w:val="center"/>
        </w:trPr>
        <w:tc>
          <w:tcPr>
            <w:tcW w:w="2550" w:type="dxa"/>
            <w:vAlign w:val="center"/>
          </w:tcPr>
          <w:p w14:paraId="0E0BDCB5">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4"/>
                <w:sz w:val="24"/>
                <w:szCs w:val="24"/>
              </w:rPr>
              <w:t>问题</w:t>
            </w:r>
          </w:p>
        </w:tc>
        <w:tc>
          <w:tcPr>
            <w:tcW w:w="6098" w:type="dxa"/>
            <w:vAlign w:val="center"/>
          </w:tcPr>
          <w:p w14:paraId="0B99C3C9">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11"/>
                <w:sz w:val="24"/>
                <w:szCs w:val="24"/>
              </w:rPr>
              <w:t>图</w:t>
            </w:r>
            <w:r>
              <w:rPr>
                <w:rFonts w:hint="default" w:ascii="Times New Roman" w:hAnsi="Times New Roman" w:eastAsia="仿宋" w:cs="Times New Roman"/>
                <w:b/>
                <w:bCs/>
                <w:spacing w:val="-10"/>
                <w:sz w:val="24"/>
                <w:szCs w:val="24"/>
              </w:rPr>
              <w:t>片照片</w:t>
            </w:r>
          </w:p>
        </w:tc>
      </w:tr>
      <w:tr w14:paraId="00E797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4" w:hRule="atLeast"/>
          <w:jc w:val="center"/>
        </w:trPr>
        <w:tc>
          <w:tcPr>
            <w:tcW w:w="2550" w:type="dxa"/>
            <w:vAlign w:val="center"/>
          </w:tcPr>
          <w:p w14:paraId="248EC56D">
            <w:pPr>
              <w:spacing w:line="240" w:lineRule="auto"/>
              <w:ind w:firstLine="7"/>
              <w:jc w:val="center"/>
              <w:rPr>
                <w:rFonts w:hint="default" w:ascii="Times New Roman" w:hAnsi="Times New Roman" w:eastAsia="仿宋" w:cs="Times New Roman"/>
                <w:sz w:val="24"/>
                <w:szCs w:val="24"/>
              </w:rPr>
            </w:pPr>
            <w:r>
              <w:rPr>
                <w:rFonts w:hint="default" w:ascii="Times New Roman" w:hAnsi="Times New Roman" w:eastAsia="仿宋" w:cs="Times New Roman"/>
                <w:spacing w:val="2"/>
                <w:sz w:val="24"/>
                <w:szCs w:val="24"/>
              </w:rPr>
              <w:t>1.共*处活动场地，</w:t>
            </w:r>
            <w:r>
              <w:rPr>
                <w:rFonts w:hint="default" w:ascii="Times New Roman" w:hAnsi="Times New Roman" w:eastAsia="仿宋" w:cs="Times New Roman"/>
                <w:sz w:val="24"/>
                <w:szCs w:val="24"/>
              </w:rPr>
              <w:t>其</w:t>
            </w:r>
            <w:r>
              <w:rPr>
                <w:rFonts w:hint="default" w:ascii="Times New Roman" w:hAnsi="Times New Roman" w:eastAsia="仿宋" w:cs="Times New Roman"/>
                <w:spacing w:val="18"/>
                <w:sz w:val="24"/>
                <w:szCs w:val="24"/>
              </w:rPr>
              <w:t>中</w:t>
            </w:r>
            <w:r>
              <w:rPr>
                <w:rFonts w:hint="default" w:ascii="Times New Roman" w:hAnsi="Times New Roman" w:eastAsia="仿宋" w:cs="Times New Roman"/>
                <w:spacing w:val="17"/>
                <w:sz w:val="24"/>
                <w:szCs w:val="24"/>
              </w:rPr>
              <w:t>存在问题的公共活</w:t>
            </w:r>
            <w:r>
              <w:rPr>
                <w:rFonts w:hint="default" w:ascii="Times New Roman" w:hAnsi="Times New Roman" w:eastAsia="仿宋" w:cs="Times New Roman"/>
                <w:spacing w:val="-5"/>
                <w:sz w:val="24"/>
                <w:szCs w:val="24"/>
              </w:rPr>
              <w:t>动场地共*个。</w:t>
            </w:r>
          </w:p>
        </w:tc>
        <w:tc>
          <w:tcPr>
            <w:tcW w:w="6098" w:type="dxa"/>
            <w:vAlign w:val="center"/>
          </w:tcPr>
          <w:p w14:paraId="7D7A68E9">
            <w:pPr>
              <w:spacing w:line="240" w:lineRule="auto"/>
              <w:ind w:firstLine="931"/>
              <w:jc w:val="both"/>
              <w:textAlignment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686050" cy="196215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a:picLocks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2686050" cy="1962150"/>
                          </a:xfrm>
                          <a:prstGeom prst="rect">
                            <a:avLst/>
                          </a:prstGeom>
                          <a:noFill/>
                          <a:ln>
                            <a:noFill/>
                          </a:ln>
                        </pic:spPr>
                      </pic:pic>
                    </a:graphicData>
                  </a:graphic>
                </wp:inline>
              </w:drawing>
            </w:r>
          </w:p>
        </w:tc>
      </w:tr>
      <w:tr w14:paraId="5C0C4E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7" w:hRule="atLeast"/>
          <w:jc w:val="center"/>
        </w:trPr>
        <w:tc>
          <w:tcPr>
            <w:tcW w:w="2550" w:type="dxa"/>
            <w:vAlign w:val="center"/>
          </w:tcPr>
          <w:p w14:paraId="12D59A0E">
            <w:pPr>
              <w:spacing w:line="240" w:lineRule="auto"/>
              <w:ind w:firstLine="11"/>
              <w:jc w:val="center"/>
              <w:rPr>
                <w:rFonts w:hint="default" w:ascii="Times New Roman" w:hAnsi="Times New Roman" w:eastAsia="仿宋" w:cs="Times New Roman"/>
                <w:sz w:val="24"/>
                <w:szCs w:val="24"/>
              </w:rPr>
            </w:pPr>
            <w:r>
              <w:rPr>
                <w:rFonts w:hint="default" w:ascii="Times New Roman" w:hAnsi="Times New Roman" w:eastAsia="仿宋" w:cs="Times New Roman"/>
                <w:spacing w:val="-11"/>
                <w:w w:val="94"/>
                <w:sz w:val="24"/>
                <w:szCs w:val="24"/>
              </w:rPr>
              <w:t>2.*区花园有高差台</w:t>
            </w:r>
            <w:r>
              <w:rPr>
                <w:rFonts w:hint="default" w:ascii="Times New Roman" w:hAnsi="Times New Roman" w:eastAsia="仿宋" w:cs="Times New Roman"/>
                <w:spacing w:val="-27"/>
                <w:sz w:val="24"/>
                <w:szCs w:val="24"/>
              </w:rPr>
              <w:t>阶，无坡道，不方便</w:t>
            </w:r>
            <w:r>
              <w:rPr>
                <w:rFonts w:hint="default" w:ascii="Times New Roman" w:hAnsi="Times New Roman" w:eastAsia="仿宋" w:cs="Times New Roman"/>
                <w:spacing w:val="-26"/>
                <w:sz w:val="24"/>
                <w:szCs w:val="24"/>
              </w:rPr>
              <w:t>老</w:t>
            </w:r>
            <w:r>
              <w:rPr>
                <w:rFonts w:hint="default" w:ascii="Times New Roman" w:hAnsi="Times New Roman" w:eastAsia="仿宋" w:cs="Times New Roman"/>
                <w:spacing w:val="-25"/>
                <w:sz w:val="24"/>
                <w:szCs w:val="24"/>
              </w:rPr>
              <w:t>年</w:t>
            </w:r>
            <w:r>
              <w:rPr>
                <w:rFonts w:hint="default" w:ascii="Times New Roman" w:hAnsi="Times New Roman" w:eastAsia="仿宋" w:cs="Times New Roman"/>
                <w:spacing w:val="-18"/>
                <w:sz w:val="24"/>
                <w:szCs w:val="24"/>
              </w:rPr>
              <w:t>人和轮椅通行；缺少</w:t>
            </w:r>
            <w:r>
              <w:rPr>
                <w:rFonts w:hint="default" w:ascii="Times New Roman" w:hAnsi="Times New Roman" w:eastAsia="仿宋" w:cs="Times New Roman"/>
                <w:spacing w:val="-11"/>
                <w:sz w:val="24"/>
                <w:szCs w:val="24"/>
              </w:rPr>
              <w:t>适</w:t>
            </w:r>
            <w:r>
              <w:rPr>
                <w:rFonts w:hint="default" w:ascii="Times New Roman" w:hAnsi="Times New Roman" w:eastAsia="仿宋" w:cs="Times New Roman"/>
                <w:spacing w:val="-6"/>
                <w:sz w:val="24"/>
                <w:szCs w:val="24"/>
              </w:rPr>
              <w:t>老设施，没有扶手，</w:t>
            </w:r>
            <w:r>
              <w:rPr>
                <w:rFonts w:hint="default" w:ascii="Times New Roman" w:hAnsi="Times New Roman" w:eastAsia="仿宋" w:cs="Times New Roman"/>
                <w:spacing w:val="-25"/>
                <w:sz w:val="24"/>
                <w:szCs w:val="24"/>
              </w:rPr>
              <w:t>轮</w:t>
            </w:r>
            <w:r>
              <w:rPr>
                <w:rFonts w:hint="default" w:ascii="Times New Roman" w:hAnsi="Times New Roman" w:eastAsia="仿宋" w:cs="Times New Roman"/>
                <w:spacing w:val="-18"/>
                <w:sz w:val="24"/>
                <w:szCs w:val="24"/>
              </w:rPr>
              <w:t>椅摆放空间不足；现</w:t>
            </w:r>
            <w:r>
              <w:rPr>
                <w:rFonts w:hint="default" w:ascii="Times New Roman" w:hAnsi="Times New Roman" w:eastAsia="仿宋" w:cs="Times New Roman"/>
                <w:spacing w:val="21"/>
                <w:sz w:val="24"/>
                <w:szCs w:val="24"/>
              </w:rPr>
              <w:t>状</w:t>
            </w:r>
            <w:r>
              <w:rPr>
                <w:rFonts w:hint="default" w:ascii="Times New Roman" w:hAnsi="Times New Roman" w:eastAsia="仿宋" w:cs="Times New Roman"/>
                <w:spacing w:val="17"/>
                <w:sz w:val="24"/>
                <w:szCs w:val="24"/>
              </w:rPr>
              <w:t>花岗岩碎拼以及汀</w:t>
            </w:r>
            <w:r>
              <w:rPr>
                <w:rFonts w:hint="default" w:ascii="Times New Roman" w:hAnsi="Times New Roman" w:eastAsia="仿宋" w:cs="Times New Roman"/>
                <w:spacing w:val="21"/>
                <w:sz w:val="24"/>
                <w:szCs w:val="24"/>
              </w:rPr>
              <w:t>步</w:t>
            </w:r>
            <w:r>
              <w:rPr>
                <w:rFonts w:hint="default" w:ascii="Times New Roman" w:hAnsi="Times New Roman" w:eastAsia="仿宋" w:cs="Times New Roman"/>
                <w:spacing w:val="17"/>
                <w:sz w:val="24"/>
                <w:szCs w:val="24"/>
              </w:rPr>
              <w:t>小路现状小路铺装</w:t>
            </w:r>
            <w:r>
              <w:rPr>
                <w:rFonts w:hint="default" w:ascii="Times New Roman" w:hAnsi="Times New Roman" w:eastAsia="仿宋" w:cs="Times New Roman"/>
                <w:spacing w:val="21"/>
                <w:sz w:val="24"/>
                <w:szCs w:val="24"/>
              </w:rPr>
              <w:t>影</w:t>
            </w:r>
            <w:r>
              <w:rPr>
                <w:rFonts w:hint="default" w:ascii="Times New Roman" w:hAnsi="Times New Roman" w:eastAsia="仿宋" w:cs="Times New Roman"/>
                <w:spacing w:val="17"/>
                <w:sz w:val="24"/>
                <w:szCs w:val="24"/>
              </w:rPr>
              <w:t>响老人推车行走舒</w:t>
            </w:r>
            <w:r>
              <w:rPr>
                <w:rFonts w:hint="default" w:ascii="Times New Roman" w:hAnsi="Times New Roman" w:eastAsia="仿宋" w:cs="Times New Roman"/>
                <w:spacing w:val="-12"/>
                <w:sz w:val="24"/>
                <w:szCs w:val="24"/>
              </w:rPr>
              <w:t>适</w:t>
            </w:r>
            <w:r>
              <w:rPr>
                <w:rFonts w:hint="default" w:ascii="Times New Roman" w:hAnsi="Times New Roman" w:eastAsia="仿宋" w:cs="Times New Roman"/>
                <w:spacing w:val="-10"/>
                <w:sz w:val="24"/>
                <w:szCs w:val="24"/>
              </w:rPr>
              <w:t>度。</w:t>
            </w:r>
          </w:p>
        </w:tc>
        <w:tc>
          <w:tcPr>
            <w:tcW w:w="6098" w:type="dxa"/>
            <w:vAlign w:val="center"/>
          </w:tcPr>
          <w:p w14:paraId="175CB895">
            <w:pPr>
              <w:spacing w:line="240" w:lineRule="auto"/>
              <w:ind w:firstLine="1139"/>
              <w:jc w:val="both"/>
              <w:textAlignment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409825" cy="1704975"/>
                  <wp:effectExtent l="0" t="0" r="0" b="0"/>
                  <wp:docPr id="35" name="IM 35"/>
                  <wp:cNvGraphicFramePr/>
                  <a:graphic xmlns:a="http://schemas.openxmlformats.org/drawingml/2006/main">
                    <a:graphicData uri="http://schemas.openxmlformats.org/drawingml/2006/picture">
                      <pic:pic xmlns:pic="http://schemas.openxmlformats.org/drawingml/2006/picture">
                        <pic:nvPicPr>
                          <pic:cNvPr id="35" name="IM 35"/>
                          <pic:cNvPicPr>
                            <a:picLocks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2409825" cy="1704975"/>
                          </a:xfrm>
                          <a:prstGeom prst="rect">
                            <a:avLst/>
                          </a:prstGeom>
                          <a:noFill/>
                          <a:ln>
                            <a:noFill/>
                          </a:ln>
                        </pic:spPr>
                      </pic:pic>
                    </a:graphicData>
                  </a:graphic>
                </wp:inline>
              </w:drawing>
            </w:r>
          </w:p>
          <w:p w14:paraId="52F79CCB">
            <w:pPr>
              <w:spacing w:line="240" w:lineRule="auto"/>
              <w:ind w:firstLine="1163"/>
              <w:jc w:val="both"/>
              <w:textAlignment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390775" cy="144780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a:picLocks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2390775" cy="1447800"/>
                          </a:xfrm>
                          <a:prstGeom prst="rect">
                            <a:avLst/>
                          </a:prstGeom>
                          <a:noFill/>
                          <a:ln>
                            <a:noFill/>
                          </a:ln>
                        </pic:spPr>
                      </pic:pic>
                    </a:graphicData>
                  </a:graphic>
                </wp:inline>
              </w:drawing>
            </w:r>
          </w:p>
        </w:tc>
      </w:tr>
      <w:tr w14:paraId="1ECA6E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1" w:hRule="atLeast"/>
          <w:jc w:val="center"/>
        </w:trPr>
        <w:tc>
          <w:tcPr>
            <w:tcW w:w="2550" w:type="dxa"/>
            <w:vAlign w:val="center"/>
          </w:tcPr>
          <w:p w14:paraId="06D200CB">
            <w:pPr>
              <w:spacing w:line="240" w:lineRule="auto"/>
              <w:ind w:hanging="3"/>
              <w:jc w:val="center"/>
              <w:rPr>
                <w:rFonts w:hint="default" w:ascii="Times New Roman" w:hAnsi="Times New Roman" w:eastAsia="仿宋" w:cs="Times New Roman"/>
                <w:sz w:val="24"/>
                <w:szCs w:val="24"/>
              </w:rPr>
            </w:pPr>
            <w:r>
              <w:rPr>
                <w:rFonts w:hint="default" w:ascii="Times New Roman" w:hAnsi="Times New Roman" w:eastAsia="仿宋" w:cs="Times New Roman"/>
                <w:spacing w:val="6"/>
                <w:sz w:val="24"/>
                <w:szCs w:val="24"/>
              </w:rPr>
              <w:t>3.</w:t>
            </w:r>
            <w:r>
              <w:rPr>
                <w:rFonts w:hint="default" w:ascii="Times New Roman" w:hAnsi="Times New Roman" w:eastAsia="仿宋" w:cs="Times New Roman"/>
                <w:spacing w:val="3"/>
                <w:sz w:val="24"/>
                <w:szCs w:val="24"/>
              </w:rPr>
              <w:t>*区域花园有高差台</w:t>
            </w:r>
            <w:r>
              <w:rPr>
                <w:rFonts w:hint="default" w:ascii="Times New Roman" w:hAnsi="Times New Roman" w:eastAsia="仿宋" w:cs="Times New Roman"/>
                <w:spacing w:val="-27"/>
                <w:sz w:val="24"/>
                <w:szCs w:val="24"/>
              </w:rPr>
              <w:t>阶，无坡道，不方便</w:t>
            </w:r>
            <w:r>
              <w:rPr>
                <w:rFonts w:hint="default" w:ascii="Times New Roman" w:hAnsi="Times New Roman" w:eastAsia="仿宋" w:cs="Times New Roman"/>
                <w:spacing w:val="-26"/>
                <w:sz w:val="24"/>
                <w:szCs w:val="24"/>
              </w:rPr>
              <w:t>老</w:t>
            </w:r>
            <w:r>
              <w:rPr>
                <w:rFonts w:hint="default" w:ascii="Times New Roman" w:hAnsi="Times New Roman" w:eastAsia="仿宋" w:cs="Times New Roman"/>
                <w:spacing w:val="-25"/>
                <w:sz w:val="24"/>
                <w:szCs w:val="24"/>
              </w:rPr>
              <w:t>年</w:t>
            </w:r>
            <w:r>
              <w:rPr>
                <w:rFonts w:hint="default" w:ascii="Times New Roman" w:hAnsi="Times New Roman" w:eastAsia="仿宋" w:cs="Times New Roman"/>
                <w:spacing w:val="-18"/>
                <w:sz w:val="24"/>
                <w:szCs w:val="24"/>
              </w:rPr>
              <w:t>人和轮椅通行；缺少</w:t>
            </w:r>
            <w:r>
              <w:rPr>
                <w:rFonts w:hint="default" w:ascii="Times New Roman" w:hAnsi="Times New Roman" w:eastAsia="仿宋" w:cs="Times New Roman"/>
                <w:spacing w:val="-8"/>
                <w:sz w:val="24"/>
                <w:szCs w:val="24"/>
              </w:rPr>
              <w:t>适老</w:t>
            </w:r>
            <w:r>
              <w:rPr>
                <w:rFonts w:hint="default" w:ascii="Times New Roman" w:hAnsi="Times New Roman" w:eastAsia="仿宋" w:cs="Times New Roman"/>
                <w:spacing w:val="-4"/>
                <w:sz w:val="24"/>
                <w:szCs w:val="24"/>
              </w:rPr>
              <w:t>设施，座椅破损。</w:t>
            </w:r>
          </w:p>
        </w:tc>
        <w:tc>
          <w:tcPr>
            <w:tcW w:w="6098" w:type="dxa"/>
            <w:vAlign w:val="center"/>
          </w:tcPr>
          <w:p w14:paraId="1174B2D2">
            <w:pPr>
              <w:spacing w:line="240" w:lineRule="auto"/>
              <w:ind w:firstLine="1135"/>
              <w:jc w:val="both"/>
              <w:textAlignment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419350" cy="1895475"/>
                  <wp:effectExtent l="0" t="0" r="0" b="0"/>
                  <wp:docPr id="37" name="IM 37"/>
                  <wp:cNvGraphicFramePr/>
                  <a:graphic xmlns:a="http://schemas.openxmlformats.org/drawingml/2006/main">
                    <a:graphicData uri="http://schemas.openxmlformats.org/drawingml/2006/picture">
                      <pic:pic xmlns:pic="http://schemas.openxmlformats.org/drawingml/2006/picture">
                        <pic:nvPicPr>
                          <pic:cNvPr id="37" name="IM 37"/>
                          <pic:cNvPicPr>
                            <a:picLocks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2419350" cy="1895475"/>
                          </a:xfrm>
                          <a:prstGeom prst="rect">
                            <a:avLst/>
                          </a:prstGeom>
                          <a:noFill/>
                          <a:ln>
                            <a:noFill/>
                          </a:ln>
                        </pic:spPr>
                      </pic:pic>
                    </a:graphicData>
                  </a:graphic>
                </wp:inline>
              </w:drawing>
            </w:r>
          </w:p>
        </w:tc>
      </w:tr>
    </w:tbl>
    <w:p w14:paraId="68DD4144">
      <w:pPr>
        <w:spacing w:line="360" w:lineRule="auto"/>
        <w:rPr>
          <w:rFonts w:hint="default" w:ascii="Times New Roman" w:hAnsi="Times New Roman" w:eastAsia="楷体" w:cs="Times New Roman"/>
          <w:spacing w:val="4"/>
          <w:sz w:val="24"/>
          <w:szCs w:val="24"/>
        </w:rPr>
      </w:pPr>
    </w:p>
    <w:p w14:paraId="78712B19">
      <w:pPr>
        <w:pStyle w:val="2"/>
        <w:rPr>
          <w:rFonts w:hint="default" w:ascii="Times New Roman" w:hAnsi="Times New Roman" w:eastAsia="楷体" w:cs="Times New Roman"/>
          <w:spacing w:val="4"/>
          <w:sz w:val="24"/>
          <w:szCs w:val="24"/>
        </w:rPr>
      </w:pPr>
    </w:p>
    <w:p w14:paraId="0B48F230">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指标</w:t>
      </w:r>
      <w:r>
        <w:rPr>
          <w:rFonts w:hint="default" w:ascii="Times New Roman" w:hAnsi="Times New Roman" w:eastAsia="仿宋_GB2312" w:cs="Times New Roman"/>
          <w:b/>
          <w:bCs/>
          <w:spacing w:val="2"/>
          <w:sz w:val="32"/>
          <w:szCs w:val="32"/>
        </w:rPr>
        <w:t>18：不达标的步行道长度（千米）</w:t>
      </w:r>
    </w:p>
    <w:p w14:paraId="731705D4">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1E6F65E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建筑与市政工程无障碍通用规范》《完整居住社区建设标准（试行）》等标准，查找人行道路面破损、宽度不足、雨后积水、夜间照明不足、铺装不防滑，不能联贯住宅和各类服务设施，以及不符合无障碍设计要求等问题。</w:t>
      </w:r>
    </w:p>
    <w:p w14:paraId="6A01B7A7">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50B2207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是否存在以下问题（人行道路面破损、宽度不足、雨后积水、夜间照明不足、铺装不防滑）。《建筑与市政工程无障碍通用规范》规定：城市开敞空间、建筑场地、建筑内部及其之间应提供连贯的无障碍通行流线；无障碍通行设施的地面应坚固、平整、防滑、不积水。</w:t>
      </w:r>
    </w:p>
    <w:p w14:paraId="5F025D2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是否不能联贯住宅和各类服务设施，是否符合无障碍设计要求。《完整居住社区建设标准（试行）》提出：建设联贯各类配套设施、公共活动空间与住宅的慢行系统，与机动车系统实现空间分离，并与城市慢行系统相衔接；社区内的公共活动场地、道路等户外环境建设符合无障碍设计要求。</w:t>
      </w:r>
    </w:p>
    <w:p w14:paraId="6108FCC9">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2539B58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数量面积：社区管理员或专业人员现场调研，或按地图（高分遥感影像）测量。</w:t>
      </w:r>
    </w:p>
    <w:p w14:paraId="5511FA99">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【示范案例】</w:t>
      </w:r>
    </w:p>
    <w:p w14:paraId="7822EC6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pacing w:val="1"/>
          <w:sz w:val="32"/>
          <w:szCs w:val="32"/>
        </w:rPr>
      </w:pPr>
      <w:r>
        <w:rPr>
          <w:rFonts w:hint="default" w:ascii="Times New Roman" w:hAnsi="Times New Roman" w:eastAsia="仿宋_GB2312" w:cs="Times New Roman"/>
          <w:b/>
          <w:bCs/>
          <w:spacing w:val="2"/>
          <w:sz w:val="32"/>
          <w:szCs w:val="32"/>
        </w:rPr>
        <w:t>_</w:t>
      </w:r>
      <w:r>
        <w:rPr>
          <w:rFonts w:hint="default" w:ascii="Times New Roman" w:hAnsi="Times New Roman" w:eastAsia="仿宋_GB2312" w:cs="Times New Roman"/>
          <w:b/>
          <w:bCs/>
          <w:spacing w:val="1"/>
          <w:sz w:val="32"/>
          <w:szCs w:val="32"/>
        </w:rPr>
        <w:t>____社区维度具体问题</w:t>
      </w:r>
    </w:p>
    <w:p w14:paraId="04E79DCD">
      <w:pPr>
        <w:pStyle w:val="2"/>
        <w:rPr>
          <w:rFonts w:hint="default" w:ascii="Times New Roman" w:hAnsi="Times New Roman" w:cs="Times New Roman"/>
        </w:rPr>
      </w:pPr>
    </w:p>
    <w:tbl>
      <w:tblPr>
        <w:tblStyle w:val="57"/>
        <w:tblW w:w="836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24"/>
        <w:gridCol w:w="5741"/>
      </w:tblGrid>
      <w:tr w14:paraId="5C89E9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jc w:val="center"/>
        </w:trPr>
        <w:tc>
          <w:tcPr>
            <w:tcW w:w="2624" w:type="dxa"/>
            <w:vAlign w:val="center"/>
          </w:tcPr>
          <w:p w14:paraId="62D87C8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 w:cs="Times New Roman"/>
                <w:b/>
                <w:bCs/>
                <w:sz w:val="24"/>
                <w:szCs w:val="24"/>
              </w:rPr>
            </w:pPr>
            <w:r>
              <w:rPr>
                <w:rFonts w:hint="default" w:ascii="Times New Roman" w:hAnsi="Times New Roman" w:eastAsia="仿宋" w:cs="Times New Roman"/>
                <w:b/>
                <w:bCs/>
                <w:spacing w:val="-4"/>
                <w:sz w:val="24"/>
                <w:szCs w:val="24"/>
              </w:rPr>
              <w:t>问题</w:t>
            </w:r>
          </w:p>
        </w:tc>
        <w:tc>
          <w:tcPr>
            <w:tcW w:w="5741" w:type="dxa"/>
            <w:vAlign w:val="center"/>
          </w:tcPr>
          <w:p w14:paraId="6206793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 w:cs="Times New Roman"/>
                <w:b/>
                <w:bCs/>
                <w:sz w:val="24"/>
                <w:szCs w:val="24"/>
              </w:rPr>
            </w:pPr>
            <w:r>
              <w:rPr>
                <w:rFonts w:hint="default" w:ascii="Times New Roman" w:hAnsi="Times New Roman" w:eastAsia="仿宋" w:cs="Times New Roman"/>
                <w:b/>
                <w:bCs/>
                <w:spacing w:val="-11"/>
                <w:sz w:val="24"/>
                <w:szCs w:val="24"/>
              </w:rPr>
              <w:t>图</w:t>
            </w:r>
            <w:r>
              <w:rPr>
                <w:rFonts w:hint="default" w:ascii="Times New Roman" w:hAnsi="Times New Roman" w:eastAsia="仿宋" w:cs="Times New Roman"/>
                <w:b/>
                <w:bCs/>
                <w:spacing w:val="-10"/>
                <w:sz w:val="24"/>
                <w:szCs w:val="24"/>
              </w:rPr>
              <w:t>片照片</w:t>
            </w:r>
          </w:p>
        </w:tc>
      </w:tr>
      <w:tr w14:paraId="4DD0CB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4" w:hRule="atLeast"/>
          <w:jc w:val="center"/>
        </w:trPr>
        <w:tc>
          <w:tcPr>
            <w:tcW w:w="2624" w:type="dxa"/>
            <w:tcBorders>
              <w:bottom w:val="single" w:color="auto" w:sz="4" w:space="0"/>
            </w:tcBorders>
            <w:vAlign w:val="center"/>
          </w:tcPr>
          <w:p w14:paraId="4226BA35">
            <w:pPr>
              <w:spacing w:line="360" w:lineRule="auto"/>
              <w:ind w:firstLine="12"/>
              <w:jc w:val="center"/>
              <w:rPr>
                <w:rFonts w:hint="default" w:ascii="Times New Roman" w:hAnsi="Times New Roman" w:eastAsia="仿宋" w:cs="Times New Roman"/>
                <w:sz w:val="24"/>
                <w:szCs w:val="24"/>
              </w:rPr>
            </w:pPr>
            <w:r>
              <w:rPr>
                <w:rFonts w:hint="default" w:ascii="Times New Roman" w:hAnsi="Times New Roman" w:eastAsia="仿宋" w:cs="Times New Roman"/>
                <w:spacing w:val="17"/>
                <w:sz w:val="24"/>
                <w:szCs w:val="24"/>
              </w:rPr>
              <w:t>1</w:t>
            </w:r>
            <w:r>
              <w:rPr>
                <w:rFonts w:hint="default" w:ascii="Times New Roman" w:hAnsi="Times New Roman" w:eastAsia="仿宋" w:cs="Times New Roman"/>
                <w:spacing w:val="13"/>
                <w:sz w:val="24"/>
                <w:szCs w:val="24"/>
              </w:rPr>
              <w:t>.**路北段步行道</w:t>
            </w:r>
            <w:r>
              <w:rPr>
                <w:rFonts w:hint="default" w:ascii="Times New Roman" w:hAnsi="Times New Roman" w:eastAsia="仿宋" w:cs="Times New Roman"/>
                <w:spacing w:val="-20"/>
                <w:sz w:val="24"/>
                <w:szCs w:val="24"/>
              </w:rPr>
              <w:t>被</w:t>
            </w:r>
            <w:r>
              <w:rPr>
                <w:rFonts w:hint="default" w:ascii="Times New Roman" w:hAnsi="Times New Roman" w:eastAsia="仿宋" w:cs="Times New Roman"/>
                <w:spacing w:val="-14"/>
                <w:sz w:val="24"/>
                <w:szCs w:val="24"/>
              </w:rPr>
              <w:t>树池花池挤占，路</w:t>
            </w:r>
            <w:r>
              <w:rPr>
                <w:rFonts w:hint="default" w:ascii="Times New Roman" w:hAnsi="Times New Roman" w:eastAsia="仿宋" w:cs="Times New Roman"/>
                <w:spacing w:val="-26"/>
                <w:sz w:val="24"/>
                <w:szCs w:val="24"/>
              </w:rPr>
              <w:t>面</w:t>
            </w:r>
            <w:r>
              <w:rPr>
                <w:rFonts w:hint="default" w:ascii="Times New Roman" w:hAnsi="Times New Roman" w:eastAsia="仿宋" w:cs="Times New Roman"/>
                <w:spacing w:val="-21"/>
                <w:sz w:val="24"/>
                <w:szCs w:val="24"/>
              </w:rPr>
              <w:t>破损，宽度不足，</w:t>
            </w:r>
            <w:r>
              <w:rPr>
                <w:rFonts w:hint="default" w:ascii="Times New Roman" w:hAnsi="Times New Roman" w:eastAsia="仿宋" w:cs="Times New Roman"/>
                <w:spacing w:val="20"/>
                <w:sz w:val="24"/>
                <w:szCs w:val="24"/>
              </w:rPr>
              <w:t>不</w:t>
            </w:r>
            <w:r>
              <w:rPr>
                <w:rFonts w:hint="default" w:ascii="Times New Roman" w:hAnsi="Times New Roman" w:eastAsia="仿宋" w:cs="Times New Roman"/>
                <w:spacing w:val="18"/>
                <w:sz w:val="24"/>
                <w:szCs w:val="24"/>
              </w:rPr>
              <w:t>符合无障碍设计</w:t>
            </w:r>
            <w:r>
              <w:rPr>
                <w:rFonts w:hint="default" w:ascii="Times New Roman" w:hAnsi="Times New Roman" w:eastAsia="仿宋" w:cs="Times New Roman"/>
                <w:spacing w:val="-12"/>
                <w:sz w:val="24"/>
                <w:szCs w:val="24"/>
              </w:rPr>
              <w:t>要求。</w:t>
            </w:r>
          </w:p>
        </w:tc>
        <w:tc>
          <w:tcPr>
            <w:tcW w:w="5741" w:type="dxa"/>
            <w:tcBorders>
              <w:bottom w:val="single" w:color="auto" w:sz="4" w:space="0"/>
            </w:tcBorders>
            <w:vAlign w:val="center"/>
          </w:tcPr>
          <w:p w14:paraId="705EB9C5">
            <w:pPr>
              <w:spacing w:line="360" w:lineRule="auto"/>
              <w:ind w:firstLine="661"/>
              <w:jc w:val="both"/>
              <w:textAlignment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drawing>
                <wp:inline distT="0" distB="0" distL="0" distR="0">
                  <wp:extent cx="2790825" cy="1990725"/>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a:picLocks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2790825" cy="1990725"/>
                          </a:xfrm>
                          <a:prstGeom prst="rect">
                            <a:avLst/>
                          </a:prstGeom>
                          <a:noFill/>
                          <a:ln>
                            <a:noFill/>
                          </a:ln>
                        </pic:spPr>
                      </pic:pic>
                    </a:graphicData>
                  </a:graphic>
                </wp:inline>
              </w:drawing>
            </w:r>
          </w:p>
        </w:tc>
      </w:tr>
      <w:tr w14:paraId="4977EA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6" w:hRule="atLeast"/>
          <w:jc w:val="center"/>
        </w:trPr>
        <w:tc>
          <w:tcPr>
            <w:tcW w:w="2624" w:type="dxa"/>
            <w:tcBorders>
              <w:top w:val="single" w:color="auto" w:sz="4" w:space="0"/>
              <w:left w:val="single" w:color="auto" w:sz="4" w:space="0"/>
              <w:bottom w:val="single" w:color="auto" w:sz="4" w:space="0"/>
            </w:tcBorders>
            <w:vAlign w:val="center"/>
          </w:tcPr>
          <w:p w14:paraId="6AF770AC">
            <w:pPr>
              <w:spacing w:line="360" w:lineRule="auto"/>
              <w:ind w:hanging="5"/>
              <w:jc w:val="center"/>
              <w:rPr>
                <w:rFonts w:hint="default" w:ascii="Times New Roman" w:hAnsi="Times New Roman" w:eastAsia="仿宋" w:cs="Times New Roman"/>
                <w:sz w:val="24"/>
                <w:szCs w:val="24"/>
              </w:rPr>
            </w:pPr>
            <w:r>
              <w:rPr>
                <w:rFonts w:hint="default" w:ascii="Times New Roman" w:hAnsi="Times New Roman" w:eastAsia="仿宋" w:cs="Times New Roman"/>
                <w:spacing w:val="2"/>
                <w:sz w:val="24"/>
                <w:szCs w:val="24"/>
              </w:rPr>
              <w:t>2.</w:t>
            </w:r>
            <w:r>
              <w:rPr>
                <w:rFonts w:hint="default" w:ascii="Times New Roman" w:hAnsi="Times New Roman" w:eastAsia="仿宋" w:cs="Times New Roman"/>
                <w:spacing w:val="1"/>
                <w:sz w:val="24"/>
                <w:szCs w:val="24"/>
              </w:rPr>
              <w:t>*号楼东侧1处</w:t>
            </w:r>
            <w:r>
              <w:rPr>
                <w:rFonts w:hint="default" w:ascii="Times New Roman" w:hAnsi="Times New Roman" w:eastAsia="仿宋" w:cs="Times New Roman"/>
                <w:spacing w:val="-17"/>
                <w:sz w:val="24"/>
                <w:szCs w:val="24"/>
              </w:rPr>
              <w:t>雨</w:t>
            </w:r>
            <w:r>
              <w:rPr>
                <w:rFonts w:hint="default" w:ascii="Times New Roman" w:hAnsi="Times New Roman" w:eastAsia="仿宋" w:cs="Times New Roman"/>
                <w:spacing w:val="-13"/>
                <w:sz w:val="24"/>
                <w:szCs w:val="24"/>
              </w:rPr>
              <w:t>天路面积水、*区</w:t>
            </w:r>
            <w:r>
              <w:rPr>
                <w:rFonts w:hint="default" w:ascii="Times New Roman" w:hAnsi="Times New Roman" w:eastAsia="仿宋" w:cs="Times New Roman"/>
                <w:spacing w:val="-20"/>
                <w:sz w:val="24"/>
                <w:szCs w:val="24"/>
              </w:rPr>
              <w:t>北</w:t>
            </w:r>
            <w:r>
              <w:rPr>
                <w:rFonts w:hint="default" w:ascii="Times New Roman" w:hAnsi="Times New Roman" w:eastAsia="仿宋" w:cs="Times New Roman"/>
                <w:spacing w:val="-14"/>
                <w:sz w:val="24"/>
                <w:szCs w:val="24"/>
              </w:rPr>
              <w:t>侧、西北侧、西侧</w:t>
            </w:r>
            <w:r>
              <w:rPr>
                <w:rFonts w:hint="default" w:ascii="Times New Roman" w:hAnsi="Times New Roman" w:eastAsia="仿宋" w:cs="Times New Roman"/>
                <w:spacing w:val="-12"/>
                <w:sz w:val="24"/>
                <w:szCs w:val="24"/>
              </w:rPr>
              <w:t>及*号楼前4处雨天</w:t>
            </w:r>
            <w:r>
              <w:rPr>
                <w:rFonts w:hint="default" w:ascii="Times New Roman" w:hAnsi="Times New Roman" w:eastAsia="仿宋" w:cs="Times New Roman"/>
                <w:spacing w:val="1"/>
                <w:sz w:val="24"/>
                <w:szCs w:val="24"/>
              </w:rPr>
              <w:t>积水问题，</w:t>
            </w:r>
            <w:r>
              <w:rPr>
                <w:rFonts w:hint="default" w:ascii="Times New Roman" w:hAnsi="Times New Roman" w:eastAsia="仿宋" w:cs="Times New Roman"/>
                <w:sz w:val="24"/>
                <w:szCs w:val="24"/>
              </w:rPr>
              <w:t>影响步</w:t>
            </w:r>
          </w:p>
          <w:p w14:paraId="7F8AAA72">
            <w:pPr>
              <w:spacing w:line="36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pacing w:val="-15"/>
                <w:sz w:val="24"/>
                <w:szCs w:val="24"/>
              </w:rPr>
              <w:t>行</w:t>
            </w:r>
            <w:r>
              <w:rPr>
                <w:rFonts w:hint="default" w:ascii="Times New Roman" w:hAnsi="Times New Roman" w:eastAsia="仿宋" w:cs="Times New Roman"/>
                <w:spacing w:val="-14"/>
                <w:sz w:val="24"/>
                <w:szCs w:val="24"/>
              </w:rPr>
              <w:t>。</w:t>
            </w:r>
          </w:p>
        </w:tc>
        <w:tc>
          <w:tcPr>
            <w:tcW w:w="5741" w:type="dxa"/>
            <w:tcBorders>
              <w:top w:val="single" w:color="auto" w:sz="4" w:space="0"/>
              <w:bottom w:val="single" w:color="auto" w:sz="4" w:space="0"/>
              <w:right w:val="single" w:color="auto" w:sz="4" w:space="0"/>
            </w:tcBorders>
            <w:vAlign w:val="center"/>
          </w:tcPr>
          <w:p w14:paraId="663E55D4">
            <w:pPr>
              <w:spacing w:line="360" w:lineRule="auto"/>
              <w:ind w:firstLine="2266"/>
              <w:jc w:val="center"/>
              <w:textAlignment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drawing>
                <wp:anchor distT="0" distB="0" distL="0" distR="0" simplePos="0" relativeHeight="251660288" behindDoc="1" locked="0" layoutInCell="1" allowOverlap="1">
                  <wp:simplePos x="0" y="0"/>
                  <wp:positionH relativeFrom="column">
                    <wp:posOffset>340995</wp:posOffset>
                  </wp:positionH>
                  <wp:positionV relativeFrom="paragraph">
                    <wp:posOffset>42545</wp:posOffset>
                  </wp:positionV>
                  <wp:extent cx="2808605" cy="1967230"/>
                  <wp:effectExtent l="0" t="0" r="10795" b="13970"/>
                  <wp:wrapNone/>
                  <wp:docPr id="1387519917" name="IM 39"/>
                  <wp:cNvGraphicFramePr/>
                  <a:graphic xmlns:a="http://schemas.openxmlformats.org/drawingml/2006/main">
                    <a:graphicData uri="http://schemas.openxmlformats.org/drawingml/2006/picture">
                      <pic:pic xmlns:pic="http://schemas.openxmlformats.org/drawingml/2006/picture">
                        <pic:nvPicPr>
                          <pic:cNvPr id="1387519917" name="IM 39"/>
                          <pic:cNvPicPr>
                            <a:picLocks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2808605" cy="1967230"/>
                          </a:xfrm>
                          <a:prstGeom prst="rect">
                            <a:avLst/>
                          </a:prstGeom>
                          <a:noFill/>
                          <a:ln>
                            <a:noFill/>
                          </a:ln>
                        </pic:spPr>
                      </pic:pic>
                    </a:graphicData>
                  </a:graphic>
                </wp:anchor>
              </w:drawing>
            </w:r>
          </w:p>
          <w:p w14:paraId="2F96D002">
            <w:pPr>
              <w:spacing w:line="360" w:lineRule="auto"/>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mc:AlternateContent>
                <mc:Choice Requires="wps">
                  <w:drawing>
                    <wp:inline distT="0" distB="0" distL="0" distR="0">
                      <wp:extent cx="81915" cy="207645"/>
                      <wp:effectExtent l="0" t="0" r="13335" b="1905"/>
                      <wp:docPr id="1220480592" name="任意多边形 58"/>
                      <wp:cNvGraphicFramePr/>
                      <a:graphic xmlns:a="http://schemas.openxmlformats.org/drawingml/2006/main">
                        <a:graphicData uri="http://schemas.microsoft.com/office/word/2010/wordprocessingShape">
                          <wps:wsp>
                            <wps:cNvSpPr>
                              <a:spLocks noChangeArrowheads="1"/>
                            </wps:cNvSpPr>
                            <wps:spPr bwMode="auto">
                              <a:xfrm>
                                <a:off x="0" y="0"/>
                                <a:ext cx="81915" cy="207645"/>
                              </a:xfrm>
                              <a:custGeom>
                                <a:avLst/>
                                <a:gdLst>
                                  <a:gd name="T0" fmla="*/ 0 w 128"/>
                                  <a:gd name="T1" fmla="*/ 64 h 327"/>
                                  <a:gd name="T2" fmla="*/ 64 w 128"/>
                                  <a:gd name="T3" fmla="*/ 0 h 327"/>
                                  <a:gd name="T4" fmla="*/ 128 w 128"/>
                                  <a:gd name="T5" fmla="*/ 64 h 327"/>
                                  <a:gd name="T6" fmla="*/ 64 w 128"/>
                                  <a:gd name="T7" fmla="*/ 128 h 327"/>
                                  <a:gd name="T8" fmla="*/ 0 w 128"/>
                                  <a:gd name="T9" fmla="*/ 64 h 327"/>
                                  <a:gd name="T10" fmla="*/ 0 w 128"/>
                                  <a:gd name="T11" fmla="*/ 262 h 327"/>
                                  <a:gd name="T12" fmla="*/ 64 w 128"/>
                                  <a:gd name="T13" fmla="*/ 197 h 327"/>
                                  <a:gd name="T14" fmla="*/ 128 w 128"/>
                                  <a:gd name="T15" fmla="*/ 262 h 327"/>
                                  <a:gd name="T16" fmla="*/ 64 w 128"/>
                                  <a:gd name="T17" fmla="*/ 326 h 327"/>
                                  <a:gd name="T18" fmla="*/ 0 w 128"/>
                                  <a:gd name="T19" fmla="*/ 262 h 3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8" h="327">
                                    <a:moveTo>
                                      <a:pt x="0" y="64"/>
                                    </a:moveTo>
                                    <a:cubicBezTo>
                                      <a:pt x="0" y="28"/>
                                      <a:pt x="28" y="0"/>
                                      <a:pt x="64" y="0"/>
                                    </a:cubicBezTo>
                                    <a:cubicBezTo>
                                      <a:pt x="99" y="0"/>
                                      <a:pt x="128" y="28"/>
                                      <a:pt x="128" y="64"/>
                                    </a:cubicBezTo>
                                    <a:cubicBezTo>
                                      <a:pt x="128" y="99"/>
                                      <a:pt x="99" y="128"/>
                                      <a:pt x="64" y="128"/>
                                    </a:cubicBezTo>
                                    <a:cubicBezTo>
                                      <a:pt x="28" y="128"/>
                                      <a:pt x="0" y="99"/>
                                      <a:pt x="0" y="64"/>
                                    </a:cubicBezTo>
                                  </a:path>
                                  <a:path w="128" h="327">
                                    <a:moveTo>
                                      <a:pt x="0" y="262"/>
                                    </a:moveTo>
                                    <a:cubicBezTo>
                                      <a:pt x="0" y="226"/>
                                      <a:pt x="28" y="197"/>
                                      <a:pt x="64" y="197"/>
                                    </a:cubicBezTo>
                                    <a:cubicBezTo>
                                      <a:pt x="99" y="197"/>
                                      <a:pt x="128" y="226"/>
                                      <a:pt x="128" y="262"/>
                                    </a:cubicBezTo>
                                    <a:cubicBezTo>
                                      <a:pt x="128" y="297"/>
                                      <a:pt x="99" y="326"/>
                                      <a:pt x="64" y="326"/>
                                    </a:cubicBezTo>
                                    <a:cubicBezTo>
                                      <a:pt x="28" y="326"/>
                                      <a:pt x="0" y="297"/>
                                      <a:pt x="0" y="262"/>
                                    </a:cubicBezTo>
                                  </a:path>
                                </a:pathLst>
                              </a:custGeom>
                              <a:solidFill>
                                <a:srgbClr val="C00000"/>
                              </a:solidFill>
                              <a:ln>
                                <a:noFill/>
                              </a:ln>
                            </wps:spPr>
                            <wps:bodyPr rot="0" vert="horz" wrap="square" lIns="91440" tIns="45720" rIns="91440" bIns="45720" anchor="t" anchorCtr="0" upright="1">
                              <a:noAutofit/>
                            </wps:bodyPr>
                          </wps:wsp>
                        </a:graphicData>
                      </a:graphic>
                    </wp:inline>
                  </w:drawing>
                </mc:Choice>
                <mc:Fallback>
                  <w:pict>
                    <v:shape id="任意多边形 58" o:spid="_x0000_s1026" o:spt="100" style="height:16.35pt;width:6.45pt;" fillcolor="#C00000" filled="t" stroked="f" coordsize="128,327" o:gfxdata="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" path="m0,64c0,28,28,0,64,0c99,0,128,28,128,64c128,99,99,128,64,128c28,128,0,99,0,64em0,262c0,226,28,197,64,197c99,197,128,226,128,262c128,297,99,326,64,326c28,326,0,297,0,262e">
                      <v:path o:connectlocs="0,40640;40957,0;81915,40640;40957,81280;0,40640;0,166370;40957,125095;81915,166370;40957,207010;0,166370" o:connectangles="0,0,0,0,0,0,0,0,0,0"/>
                      <v:fill on="t" focussize="0,0"/>
                      <v:stroke on="f"/>
                      <v:imagedata o:title=""/>
                      <o:lock v:ext="edit" aspectratio="f"/>
                      <w10:wrap type="none"/>
                      <w10:anchorlock/>
                    </v:shape>
                  </w:pict>
                </mc:Fallback>
              </mc:AlternateContent>
            </w:r>
          </w:p>
          <w:p w14:paraId="77430D43">
            <w:pPr>
              <w:spacing w:line="360" w:lineRule="auto"/>
              <w:jc w:val="center"/>
              <w:rPr>
                <w:rFonts w:hint="default" w:ascii="Times New Roman" w:hAnsi="Times New Roman" w:eastAsia="仿宋" w:cs="Times New Roman"/>
                <w:sz w:val="24"/>
                <w:szCs w:val="24"/>
              </w:rPr>
            </w:pPr>
          </w:p>
          <w:p w14:paraId="47DE2123">
            <w:pPr>
              <w:spacing w:line="360" w:lineRule="auto"/>
              <w:jc w:val="center"/>
              <w:rPr>
                <w:rFonts w:hint="default" w:ascii="Times New Roman" w:hAnsi="Times New Roman" w:eastAsia="仿宋" w:cs="Times New Roman"/>
                <w:sz w:val="24"/>
                <w:szCs w:val="24"/>
              </w:rPr>
            </w:pPr>
          </w:p>
          <w:p w14:paraId="1523B080">
            <w:pPr>
              <w:spacing w:line="360" w:lineRule="auto"/>
              <w:ind w:firstLine="130"/>
              <w:jc w:val="center"/>
              <w:textAlignment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mc:AlternateContent>
                <mc:Choice Requires="wps">
                  <w:drawing>
                    <wp:inline distT="0" distB="0" distL="0" distR="0">
                      <wp:extent cx="723900" cy="81915"/>
                      <wp:effectExtent l="0" t="0" r="0" b="13335"/>
                      <wp:docPr id="2130963986" name="任意多边形 57"/>
                      <wp:cNvGraphicFramePr/>
                      <a:graphic xmlns:a="http://schemas.openxmlformats.org/drawingml/2006/main">
                        <a:graphicData uri="http://schemas.microsoft.com/office/word/2010/wordprocessingShape">
                          <wps:wsp>
                            <wps:cNvSpPr>
                              <a:spLocks noChangeArrowheads="1"/>
                            </wps:cNvSpPr>
                            <wps:spPr bwMode="auto">
                              <a:xfrm>
                                <a:off x="0" y="0"/>
                                <a:ext cx="723900" cy="81915"/>
                              </a:xfrm>
                              <a:custGeom>
                                <a:avLst/>
                                <a:gdLst>
                                  <a:gd name="T0" fmla="*/ 1010 w 1140"/>
                                  <a:gd name="T1" fmla="*/ 64 h 128"/>
                                  <a:gd name="T2" fmla="*/ 1075 w 1140"/>
                                  <a:gd name="T3" fmla="*/ 0 h 128"/>
                                  <a:gd name="T4" fmla="*/ 1139 w 1140"/>
                                  <a:gd name="T5" fmla="*/ 64 h 128"/>
                                  <a:gd name="T6" fmla="*/ 1075 w 1140"/>
                                  <a:gd name="T7" fmla="*/ 128 h 128"/>
                                  <a:gd name="T8" fmla="*/ 1010 w 1140"/>
                                  <a:gd name="T9" fmla="*/ 64 h 128"/>
                                  <a:gd name="T10" fmla="*/ 0 w 1140"/>
                                  <a:gd name="T11" fmla="*/ 64 h 128"/>
                                  <a:gd name="T12" fmla="*/ 64 w 1140"/>
                                  <a:gd name="T13" fmla="*/ 0 h 128"/>
                                  <a:gd name="T14" fmla="*/ 128 w 1140"/>
                                  <a:gd name="T15" fmla="*/ 64 h 128"/>
                                  <a:gd name="T16" fmla="*/ 64 w 1140"/>
                                  <a:gd name="T17" fmla="*/ 128 h 128"/>
                                  <a:gd name="T18" fmla="*/ 0 w 1140"/>
                                  <a:gd name="T19" fmla="*/ 64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40" h="128">
                                    <a:moveTo>
                                      <a:pt x="1010" y="64"/>
                                    </a:moveTo>
                                    <a:cubicBezTo>
                                      <a:pt x="1010" y="28"/>
                                      <a:pt x="1039" y="0"/>
                                      <a:pt x="1075" y="0"/>
                                    </a:cubicBezTo>
                                    <a:cubicBezTo>
                                      <a:pt x="1110" y="0"/>
                                      <a:pt x="1139" y="28"/>
                                      <a:pt x="1139" y="64"/>
                                    </a:cubicBezTo>
                                    <a:cubicBezTo>
                                      <a:pt x="1139" y="99"/>
                                      <a:pt x="1110" y="128"/>
                                      <a:pt x="1075" y="128"/>
                                    </a:cubicBezTo>
                                    <a:cubicBezTo>
                                      <a:pt x="1039" y="128"/>
                                      <a:pt x="1010" y="99"/>
                                      <a:pt x="1010" y="64"/>
                                    </a:cubicBezTo>
                                  </a:path>
                                  <a:path w="1140" h="128">
                                    <a:moveTo>
                                      <a:pt x="0" y="64"/>
                                    </a:moveTo>
                                    <a:cubicBezTo>
                                      <a:pt x="0" y="28"/>
                                      <a:pt x="28" y="0"/>
                                      <a:pt x="64" y="0"/>
                                    </a:cubicBezTo>
                                    <a:cubicBezTo>
                                      <a:pt x="99" y="0"/>
                                      <a:pt x="128" y="28"/>
                                      <a:pt x="128" y="64"/>
                                    </a:cubicBezTo>
                                    <a:cubicBezTo>
                                      <a:pt x="128" y="99"/>
                                      <a:pt x="99" y="128"/>
                                      <a:pt x="64" y="128"/>
                                    </a:cubicBezTo>
                                    <a:cubicBezTo>
                                      <a:pt x="28" y="128"/>
                                      <a:pt x="0" y="99"/>
                                      <a:pt x="0" y="64"/>
                                    </a:cubicBezTo>
                                  </a:path>
                                </a:pathLst>
                              </a:custGeom>
                              <a:solidFill>
                                <a:srgbClr val="C00000"/>
                              </a:solidFill>
                              <a:ln>
                                <a:noFill/>
                              </a:ln>
                            </wps:spPr>
                            <wps:bodyPr rot="0" vert="horz" wrap="square" lIns="91440" tIns="45720" rIns="91440" bIns="45720" anchor="t" anchorCtr="0" upright="1">
                              <a:noAutofit/>
                            </wps:bodyPr>
                          </wps:wsp>
                        </a:graphicData>
                      </a:graphic>
                    </wp:inline>
                  </w:drawing>
                </mc:Choice>
                <mc:Fallback>
                  <w:pict>
                    <v:shape id="任意多边形 57" o:spid="_x0000_s1026" o:spt="100" style="height:6.45pt;width:57pt;" fillcolor="#C00000" filled="t" stroked="f" coordsize="1140,128" o:gfxdata="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" path="m1010,64c1010,28,1039,0,1075,0c1110,0,1139,28,1139,64c1139,99,1110,128,1075,128c1039,128,1010,99,1010,64em0,64c0,28,28,0,64,0c99,0,128,28,128,64c128,99,99,128,64,128c28,128,0,99,0,64e">
                      <v:path o:connectlocs="641350,40957;682625,0;723265,40957;682625,81915;641350,40957;0,40957;40640,0;81280,40957;40640,81915;0,40957" o:connectangles="0,0,0,0,0,0,0,0,0,0"/>
                      <v:fill on="t" focussize="0,0"/>
                      <v:stroke on="f"/>
                      <v:imagedata o:title=""/>
                      <o:lock v:ext="edit" aspectratio="f"/>
                      <w10:wrap type="none"/>
                      <w10:anchorlock/>
                    </v:shape>
                  </w:pict>
                </mc:Fallback>
              </mc:AlternateContent>
            </w:r>
          </w:p>
          <w:p w14:paraId="2B2C6B26">
            <w:pPr>
              <w:spacing w:line="360" w:lineRule="auto"/>
              <w:jc w:val="center"/>
              <w:rPr>
                <w:rFonts w:hint="default" w:ascii="Times New Roman" w:hAnsi="Times New Roman" w:eastAsia="仿宋" w:cs="Times New Roman"/>
                <w:sz w:val="24"/>
                <w:szCs w:val="24"/>
              </w:rPr>
            </w:pPr>
          </w:p>
          <w:p w14:paraId="1BDF3D7B">
            <w:pPr>
              <w:spacing w:line="360" w:lineRule="auto"/>
              <w:ind w:firstLine="3441"/>
              <w:jc w:val="center"/>
              <w:textAlignment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mc:AlternateContent>
                <mc:Choice Requires="wps">
                  <w:drawing>
                    <wp:inline distT="0" distB="0" distL="0" distR="0">
                      <wp:extent cx="81915" cy="81915"/>
                      <wp:effectExtent l="0" t="0" r="13335" b="13335"/>
                      <wp:docPr id="884426348" name="任意多边形 56"/>
                      <wp:cNvGraphicFramePr/>
                      <a:graphic xmlns:a="http://schemas.openxmlformats.org/drawingml/2006/main">
                        <a:graphicData uri="http://schemas.microsoft.com/office/word/2010/wordprocessingShape">
                          <wps:wsp>
                            <wps:cNvSpPr>
                              <a:spLocks noChangeArrowheads="1"/>
                            </wps:cNvSpPr>
                            <wps:spPr bwMode="auto">
                              <a:xfrm>
                                <a:off x="0" y="0"/>
                                <a:ext cx="81915" cy="81915"/>
                              </a:xfrm>
                              <a:custGeom>
                                <a:avLst/>
                                <a:gdLst>
                                  <a:gd name="T0" fmla="*/ 0 w 128"/>
                                  <a:gd name="T1" fmla="*/ 64 h 128"/>
                                  <a:gd name="T2" fmla="*/ 64 w 128"/>
                                  <a:gd name="T3" fmla="*/ 0 h 128"/>
                                  <a:gd name="T4" fmla="*/ 128 w 128"/>
                                  <a:gd name="T5" fmla="*/ 64 h 128"/>
                                  <a:gd name="T6" fmla="*/ 64 w 128"/>
                                  <a:gd name="T7" fmla="*/ 128 h 128"/>
                                  <a:gd name="T8" fmla="*/ 0 w 128"/>
                                  <a:gd name="T9" fmla="*/ 64 h 128"/>
                                </a:gdLst>
                                <a:ahLst/>
                                <a:cxnLst>
                                  <a:cxn ang="0">
                                    <a:pos x="T0" y="T1"/>
                                  </a:cxn>
                                  <a:cxn ang="0">
                                    <a:pos x="T2" y="T3"/>
                                  </a:cxn>
                                  <a:cxn ang="0">
                                    <a:pos x="T4" y="T5"/>
                                  </a:cxn>
                                  <a:cxn ang="0">
                                    <a:pos x="T6" y="T7"/>
                                  </a:cxn>
                                  <a:cxn ang="0">
                                    <a:pos x="T8" y="T9"/>
                                  </a:cxn>
                                </a:cxnLst>
                                <a:rect l="0" t="0" r="r" b="b"/>
                                <a:pathLst>
                                  <a:path w="128" h="128">
                                    <a:moveTo>
                                      <a:pt x="0" y="64"/>
                                    </a:moveTo>
                                    <a:cubicBezTo>
                                      <a:pt x="0" y="28"/>
                                      <a:pt x="28" y="0"/>
                                      <a:pt x="64" y="0"/>
                                    </a:cubicBezTo>
                                    <a:cubicBezTo>
                                      <a:pt x="99" y="0"/>
                                      <a:pt x="128" y="28"/>
                                      <a:pt x="128" y="64"/>
                                    </a:cubicBezTo>
                                    <a:cubicBezTo>
                                      <a:pt x="128" y="99"/>
                                      <a:pt x="99" y="128"/>
                                      <a:pt x="64" y="128"/>
                                    </a:cubicBezTo>
                                    <a:cubicBezTo>
                                      <a:pt x="28" y="128"/>
                                      <a:pt x="0" y="99"/>
                                      <a:pt x="0" y="64"/>
                                    </a:cubicBezTo>
                                  </a:path>
                                </a:pathLst>
                              </a:custGeom>
                              <a:solidFill>
                                <a:srgbClr val="C00000"/>
                              </a:solidFill>
                              <a:ln>
                                <a:noFill/>
                              </a:ln>
                            </wps:spPr>
                            <wps:bodyPr rot="0" vert="horz" wrap="square" lIns="91440" tIns="45720" rIns="91440" bIns="45720" anchor="t" anchorCtr="0" upright="1">
                              <a:noAutofit/>
                            </wps:bodyPr>
                          </wps:wsp>
                        </a:graphicData>
                      </a:graphic>
                    </wp:inline>
                  </w:drawing>
                </mc:Choice>
                <mc:Fallback>
                  <w:pict>
                    <v:shape id="任意多边形 56" o:spid="_x0000_s1026" o:spt="100" style="height:6.45pt;width:6.45pt;" fillcolor="#C00000" filled="t" stroked="f" coordsize="128,128" o:gfxdata="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" path="m0,64c0,28,28,0,64,0c99,0,128,28,128,64c128,99,99,128,64,128c28,128,0,99,0,64e">
                      <v:path o:connectlocs="0,40957;40957,0;81915,40957;40957,81915;0,40957" o:connectangles="0,0,0,0,0"/>
                      <v:fill on="t" focussize="0,0"/>
                      <v:stroke on="f"/>
                      <v:imagedata o:title=""/>
                      <o:lock v:ext="edit" aspectratio="f"/>
                      <w10:wrap type="none"/>
                      <w10:anchorlock/>
                    </v:shape>
                  </w:pict>
                </mc:Fallback>
              </mc:AlternateContent>
            </w:r>
          </w:p>
          <w:p w14:paraId="73B9A179">
            <w:pPr>
              <w:spacing w:line="360" w:lineRule="auto"/>
              <w:jc w:val="both"/>
              <w:rPr>
                <w:rFonts w:hint="default" w:ascii="Times New Roman" w:hAnsi="Times New Roman" w:eastAsia="仿宋" w:cs="Times New Roman"/>
                <w:sz w:val="24"/>
                <w:szCs w:val="24"/>
              </w:rPr>
            </w:pPr>
          </w:p>
        </w:tc>
      </w:tr>
      <w:tr w14:paraId="4BE5A7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2" w:hRule="atLeast"/>
          <w:jc w:val="center"/>
        </w:trPr>
        <w:tc>
          <w:tcPr>
            <w:tcW w:w="2624" w:type="dxa"/>
            <w:tcBorders>
              <w:top w:val="single" w:color="auto" w:sz="4" w:space="0"/>
            </w:tcBorders>
            <w:vAlign w:val="center"/>
          </w:tcPr>
          <w:p w14:paraId="34D86D06">
            <w:pPr>
              <w:spacing w:line="360" w:lineRule="auto"/>
              <w:ind w:hanging="5"/>
              <w:jc w:val="center"/>
              <w:rPr>
                <w:rFonts w:hint="default" w:ascii="Times New Roman" w:hAnsi="Times New Roman" w:eastAsia="仿宋" w:cs="Times New Roman"/>
                <w:sz w:val="24"/>
                <w:szCs w:val="24"/>
              </w:rPr>
            </w:pPr>
            <w:r>
              <w:rPr>
                <w:rFonts w:hint="default" w:ascii="Times New Roman" w:hAnsi="Times New Roman" w:eastAsia="仿宋" w:cs="Times New Roman"/>
                <w:spacing w:val="1"/>
                <w:sz w:val="24"/>
                <w:szCs w:val="24"/>
              </w:rPr>
              <w:t>3.*区人行道车辆</w:t>
            </w:r>
            <w:r>
              <w:rPr>
                <w:rFonts w:hint="default" w:ascii="Times New Roman" w:hAnsi="Times New Roman" w:eastAsia="仿宋" w:cs="Times New Roman"/>
                <w:sz w:val="24"/>
                <w:szCs w:val="24"/>
              </w:rPr>
              <w:t>违</w:t>
            </w:r>
            <w:r>
              <w:rPr>
                <w:rFonts w:hint="default" w:ascii="Times New Roman" w:hAnsi="Times New Roman" w:eastAsia="仿宋" w:cs="Times New Roman"/>
                <w:spacing w:val="-15"/>
                <w:sz w:val="24"/>
                <w:szCs w:val="24"/>
              </w:rPr>
              <w:t>停，严重占据步行</w:t>
            </w:r>
            <w:r>
              <w:rPr>
                <w:rFonts w:hint="default" w:ascii="Times New Roman" w:hAnsi="Times New Roman" w:eastAsia="仿宋" w:cs="Times New Roman"/>
                <w:spacing w:val="-14"/>
                <w:sz w:val="24"/>
                <w:szCs w:val="24"/>
              </w:rPr>
              <w:t>空</w:t>
            </w:r>
            <w:r>
              <w:rPr>
                <w:rFonts w:hint="default" w:ascii="Times New Roman" w:hAnsi="Times New Roman" w:eastAsia="仿宋" w:cs="Times New Roman"/>
                <w:spacing w:val="-15"/>
                <w:sz w:val="24"/>
                <w:szCs w:val="24"/>
              </w:rPr>
              <w:t>间</w:t>
            </w:r>
            <w:r>
              <w:rPr>
                <w:rFonts w:hint="default" w:ascii="Times New Roman" w:hAnsi="Times New Roman" w:eastAsia="仿宋" w:cs="Times New Roman"/>
                <w:spacing w:val="-14"/>
                <w:sz w:val="24"/>
                <w:szCs w:val="24"/>
              </w:rPr>
              <w:t>。</w:t>
            </w:r>
          </w:p>
        </w:tc>
        <w:tc>
          <w:tcPr>
            <w:tcW w:w="5741" w:type="dxa"/>
            <w:tcBorders>
              <w:top w:val="single" w:color="auto" w:sz="4" w:space="0"/>
            </w:tcBorders>
            <w:vAlign w:val="center"/>
          </w:tcPr>
          <w:p w14:paraId="7A78A20D">
            <w:pPr>
              <w:spacing w:line="360" w:lineRule="auto"/>
              <w:ind w:firstLine="679"/>
              <w:jc w:val="both"/>
              <w:textAlignment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drawing>
                <wp:inline distT="0" distB="0" distL="0" distR="0">
                  <wp:extent cx="2771775" cy="1628775"/>
                  <wp:effectExtent l="0" t="0" r="0" b="0"/>
                  <wp:docPr id="43" name="IM 40"/>
                  <wp:cNvGraphicFramePr/>
                  <a:graphic xmlns:a="http://schemas.openxmlformats.org/drawingml/2006/main">
                    <a:graphicData uri="http://schemas.openxmlformats.org/drawingml/2006/picture">
                      <pic:pic xmlns:pic="http://schemas.openxmlformats.org/drawingml/2006/picture">
                        <pic:nvPicPr>
                          <pic:cNvPr id="43" name="IM 40"/>
                          <pic:cNvPicPr>
                            <a:picLocks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2771775" cy="1628775"/>
                          </a:xfrm>
                          <a:prstGeom prst="rect">
                            <a:avLst/>
                          </a:prstGeom>
                          <a:noFill/>
                          <a:ln>
                            <a:noFill/>
                          </a:ln>
                        </pic:spPr>
                      </pic:pic>
                    </a:graphicData>
                  </a:graphic>
                </wp:inline>
              </w:drawing>
            </w:r>
          </w:p>
        </w:tc>
      </w:tr>
    </w:tbl>
    <w:p w14:paraId="534CE1E0">
      <w:pPr>
        <w:spacing w:line="360" w:lineRule="auto"/>
        <w:rPr>
          <w:rFonts w:hint="default" w:ascii="Times New Roman" w:hAnsi="Times New Roman" w:cs="Times New Roman"/>
          <w:sz w:val="24"/>
          <w:szCs w:val="24"/>
        </w:rPr>
      </w:pPr>
    </w:p>
    <w:p w14:paraId="07A469A7">
      <w:pPr>
        <w:spacing w:line="360" w:lineRule="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w:t>
      </w:r>
      <w:r>
        <w:rPr>
          <w:rFonts w:hint="default" w:ascii="Times New Roman" w:hAnsi="Times New Roman" w:eastAsia="仿宋_GB2312" w:cs="Times New Roman"/>
          <w:b/>
          <w:bCs/>
          <w:spacing w:val="3"/>
          <w:sz w:val="32"/>
          <w:szCs w:val="32"/>
        </w:rPr>
        <w:t>标</w:t>
      </w:r>
      <w:r>
        <w:rPr>
          <w:rFonts w:hint="default" w:ascii="Times New Roman" w:hAnsi="Times New Roman" w:eastAsia="仿宋_GB2312" w:cs="Times New Roman"/>
          <w:b/>
          <w:bCs/>
          <w:spacing w:val="2"/>
          <w:sz w:val="32"/>
          <w:szCs w:val="32"/>
        </w:rPr>
        <w:t>19：未实施生活垃圾分类的小区数量（个）</w:t>
      </w:r>
    </w:p>
    <w:p w14:paraId="4F4A0707">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78FFD245">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按照住房和城乡建设部等部门《关于进一步推进生活垃圾分类工作的若干意见》要求，查找没有实行垃圾分类制度，未建立分类投放、分类收集、分类运输、分类处理系统等方面的问题。</w:t>
      </w:r>
    </w:p>
    <w:p w14:paraId="19AADD8E">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425D0453">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是否建立实行垃圾分类的制度。是否落实2019年《住房和城乡建设部等部门关于在全国地级及以上城市全面开展生活垃圾分类工作的通知》提出的到2025年全国地级及以上城市基本建成生活垃圾分类处理系统的相关要求。</w:t>
      </w:r>
    </w:p>
    <w:p w14:paraId="1A369344">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是否存在以下问题（未建立分类投放、分类收集、分类运输、分类处理系统）。</w:t>
      </w:r>
    </w:p>
    <w:p w14:paraId="76040D36">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2C23CC82">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数量情况：小区物业提供或现场调研。</w:t>
      </w:r>
    </w:p>
    <w:p w14:paraId="00A92D80">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位置情况：社区管理员或专业人员现场调研，现场底图标注。</w:t>
      </w:r>
    </w:p>
    <w:p w14:paraId="18773D3F">
      <w:pPr>
        <w:spacing w:line="360" w:lineRule="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【示范案例】</w:t>
      </w:r>
    </w:p>
    <w:p w14:paraId="6696F127">
      <w:pPr>
        <w:pStyle w:val="2"/>
        <w:rPr>
          <w:rFonts w:hint="default" w:ascii="Times New Roman" w:hAnsi="Times New Roman" w:cs="Times New Roman"/>
        </w:rPr>
      </w:pPr>
    </w:p>
    <w:p w14:paraId="23944E81">
      <w:pPr>
        <w:spacing w:line="360" w:lineRule="auto"/>
        <w:jc w:val="center"/>
        <w:rPr>
          <w:rFonts w:hint="default" w:ascii="Times New Roman" w:hAnsi="Times New Roman" w:eastAsia="仿宋_GB2312" w:cs="Times New Roman"/>
          <w:b/>
          <w:bCs/>
          <w:spacing w:val="1"/>
          <w:sz w:val="32"/>
          <w:szCs w:val="32"/>
        </w:rPr>
      </w:pPr>
      <w:r>
        <w:rPr>
          <w:rFonts w:hint="default" w:ascii="Times New Roman" w:hAnsi="Times New Roman" w:eastAsia="仿宋_GB2312" w:cs="Times New Roman"/>
          <w:b/>
          <w:bCs/>
          <w:spacing w:val="2"/>
          <w:sz w:val="32"/>
          <w:szCs w:val="32"/>
        </w:rPr>
        <w:t>_</w:t>
      </w:r>
      <w:r>
        <w:rPr>
          <w:rFonts w:hint="default" w:ascii="Times New Roman" w:hAnsi="Times New Roman" w:eastAsia="仿宋_GB2312" w:cs="Times New Roman"/>
          <w:b/>
          <w:bCs/>
          <w:spacing w:val="1"/>
          <w:sz w:val="32"/>
          <w:szCs w:val="32"/>
        </w:rPr>
        <w:t>____社区维度具体问题</w:t>
      </w:r>
    </w:p>
    <w:p w14:paraId="459A5677">
      <w:pPr>
        <w:pStyle w:val="2"/>
        <w:rPr>
          <w:rFonts w:hint="default" w:ascii="Times New Roman" w:hAnsi="Times New Roman" w:cs="Times New Roman"/>
        </w:rPr>
      </w:pPr>
    </w:p>
    <w:tbl>
      <w:tblPr>
        <w:tblStyle w:val="57"/>
        <w:tblW w:w="82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68"/>
        <w:gridCol w:w="5455"/>
      </w:tblGrid>
      <w:tr w14:paraId="4D5E60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jc w:val="center"/>
        </w:trPr>
        <w:tc>
          <w:tcPr>
            <w:tcW w:w="2768" w:type="dxa"/>
            <w:vAlign w:val="center"/>
          </w:tcPr>
          <w:p w14:paraId="5CFFC139">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4"/>
                <w:sz w:val="24"/>
                <w:szCs w:val="24"/>
              </w:rPr>
              <w:t>问题</w:t>
            </w:r>
          </w:p>
        </w:tc>
        <w:tc>
          <w:tcPr>
            <w:tcW w:w="5455" w:type="dxa"/>
            <w:vAlign w:val="center"/>
          </w:tcPr>
          <w:p w14:paraId="3B5163EF">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11"/>
                <w:sz w:val="24"/>
                <w:szCs w:val="24"/>
              </w:rPr>
              <w:t>图</w:t>
            </w:r>
            <w:r>
              <w:rPr>
                <w:rFonts w:hint="default" w:ascii="Times New Roman" w:hAnsi="Times New Roman" w:eastAsia="仿宋" w:cs="Times New Roman"/>
                <w:b/>
                <w:bCs/>
                <w:spacing w:val="-10"/>
                <w:sz w:val="24"/>
                <w:szCs w:val="24"/>
              </w:rPr>
              <w:t>片照片</w:t>
            </w:r>
          </w:p>
        </w:tc>
      </w:tr>
      <w:tr w14:paraId="590F0E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4" w:hRule="atLeast"/>
          <w:jc w:val="center"/>
        </w:trPr>
        <w:tc>
          <w:tcPr>
            <w:tcW w:w="2768" w:type="dxa"/>
            <w:vAlign w:val="center"/>
          </w:tcPr>
          <w:p w14:paraId="04D83377">
            <w:pPr>
              <w:spacing w:line="240" w:lineRule="auto"/>
              <w:ind w:firstLine="9"/>
              <w:jc w:val="center"/>
              <w:rPr>
                <w:rFonts w:hint="default" w:ascii="Times New Roman" w:hAnsi="Times New Roman" w:eastAsia="仿宋" w:cs="Times New Roman"/>
                <w:sz w:val="24"/>
                <w:szCs w:val="24"/>
              </w:rPr>
            </w:pPr>
            <w:r>
              <w:rPr>
                <w:rFonts w:hint="default" w:ascii="Times New Roman" w:hAnsi="Times New Roman" w:eastAsia="仿宋" w:cs="Times New Roman"/>
                <w:spacing w:val="19"/>
                <w:sz w:val="24"/>
                <w:szCs w:val="24"/>
              </w:rPr>
              <w:t>1</w:t>
            </w:r>
            <w:r>
              <w:rPr>
                <w:rFonts w:hint="default" w:ascii="Times New Roman" w:hAnsi="Times New Roman" w:eastAsia="仿宋" w:cs="Times New Roman"/>
                <w:spacing w:val="13"/>
                <w:sz w:val="24"/>
                <w:szCs w:val="24"/>
              </w:rPr>
              <w:t>.*区的密闭式垃圾</w:t>
            </w:r>
            <w:r>
              <w:rPr>
                <w:rFonts w:hint="default" w:ascii="Times New Roman" w:hAnsi="Times New Roman" w:eastAsia="仿宋" w:cs="Times New Roman"/>
                <w:spacing w:val="1"/>
                <w:sz w:val="24"/>
                <w:szCs w:val="24"/>
              </w:rPr>
              <w:t>回收站</w:t>
            </w:r>
            <w:r>
              <w:rPr>
                <w:rFonts w:hint="default" w:ascii="Times New Roman" w:hAnsi="Times New Roman" w:eastAsia="仿宋" w:cs="Times New Roman"/>
                <w:sz w:val="24"/>
                <w:szCs w:val="24"/>
              </w:rPr>
              <w:t>夏天有异味，</w:t>
            </w:r>
            <w:r>
              <w:rPr>
                <w:rFonts w:hint="default" w:ascii="Times New Roman" w:hAnsi="Times New Roman" w:eastAsia="仿宋" w:cs="Times New Roman"/>
                <w:spacing w:val="-4"/>
                <w:sz w:val="24"/>
                <w:szCs w:val="24"/>
              </w:rPr>
              <w:t>对</w:t>
            </w:r>
            <w:r>
              <w:rPr>
                <w:rFonts w:hint="default" w:ascii="Times New Roman" w:hAnsi="Times New Roman" w:eastAsia="仿宋" w:cs="Times New Roman"/>
                <w:spacing w:val="-2"/>
                <w:sz w:val="24"/>
                <w:szCs w:val="24"/>
              </w:rPr>
              <w:t>周边住户有影响。</w:t>
            </w:r>
          </w:p>
        </w:tc>
        <w:tc>
          <w:tcPr>
            <w:tcW w:w="5455" w:type="dxa"/>
            <w:vAlign w:val="center"/>
          </w:tcPr>
          <w:p w14:paraId="125E10A4">
            <w:pPr>
              <w:spacing w:line="240" w:lineRule="auto"/>
              <w:ind w:firstLine="882"/>
              <w:jc w:val="both"/>
              <w:textAlignment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152650" cy="1514475"/>
                  <wp:effectExtent l="0" t="0" r="0" b="0"/>
                  <wp:docPr id="44" name="IM 41"/>
                  <wp:cNvGraphicFramePr/>
                  <a:graphic xmlns:a="http://schemas.openxmlformats.org/drawingml/2006/main">
                    <a:graphicData uri="http://schemas.openxmlformats.org/drawingml/2006/picture">
                      <pic:pic xmlns:pic="http://schemas.openxmlformats.org/drawingml/2006/picture">
                        <pic:nvPicPr>
                          <pic:cNvPr id="44" name="IM 41"/>
                          <pic:cNvPicPr>
                            <a:picLocks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2152650" cy="1514475"/>
                          </a:xfrm>
                          <a:prstGeom prst="rect">
                            <a:avLst/>
                          </a:prstGeom>
                          <a:noFill/>
                          <a:ln>
                            <a:noFill/>
                          </a:ln>
                        </pic:spPr>
                      </pic:pic>
                    </a:graphicData>
                  </a:graphic>
                </wp:inline>
              </w:drawing>
            </w:r>
          </w:p>
        </w:tc>
      </w:tr>
    </w:tbl>
    <w:p w14:paraId="14F7BD9B">
      <w:pPr>
        <w:spacing w:line="360" w:lineRule="auto"/>
        <w:rPr>
          <w:rFonts w:hint="default" w:ascii="Times New Roman" w:hAnsi="Times New Roman" w:eastAsia="楷体" w:cs="Times New Roman"/>
          <w:spacing w:val="6"/>
          <w:sz w:val="24"/>
          <w:szCs w:val="24"/>
        </w:rPr>
      </w:pPr>
    </w:p>
    <w:p w14:paraId="15B5236E">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6"/>
          <w:sz w:val="32"/>
          <w:szCs w:val="32"/>
        </w:rPr>
        <w:t>指标</w:t>
      </w:r>
      <w:r>
        <w:rPr>
          <w:rFonts w:hint="default" w:ascii="Times New Roman" w:hAnsi="Times New Roman" w:eastAsia="仿宋_GB2312" w:cs="Times New Roman"/>
          <w:b/>
          <w:bCs/>
          <w:spacing w:val="3"/>
          <w:sz w:val="32"/>
          <w:szCs w:val="32"/>
        </w:rPr>
        <w:t>20：未实施好物业管理的小区数量（个）</w:t>
      </w:r>
    </w:p>
    <w:p w14:paraId="2F19E7EA">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2AEFA0C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按照住房和城乡建设部等部门《关于加强和改进住宅物业管理工作的通知》要求，查找没有实施专业化物业管理，党建引领要求落实不到位，没有按照物业服务合同约定事项和标准提供服务等问题。</w:t>
      </w:r>
    </w:p>
    <w:p w14:paraId="1EB11CCE">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5712024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没有实施具有专业人员管理、专属物业办公场所、专用设备配置的专业化物业管理。</w:t>
      </w:r>
    </w:p>
    <w:p w14:paraId="26EE13B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是否在物业管理委员会中建立党组织，并充分发挥业主中的中共党员、人大代表、政协委员和社区志愿者在社区治理中共同施策。</w:t>
      </w:r>
    </w:p>
    <w:p w14:paraId="0E8E649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3</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没有按照物业服务合同约定对房屋及配套设施设备进行维修、养护和管理，不能及时处理居民报修、求助等各类信息。</w:t>
      </w:r>
    </w:p>
    <w:p w14:paraId="3FC2FCE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4</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是否存在秩序维护和环境卫生服务不到位等问题。</w:t>
      </w:r>
    </w:p>
    <w:p w14:paraId="222A8F32">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33C3EC4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基本情况：社区管理员或专业人员现场调研，现场底图标注。</w:t>
      </w:r>
    </w:p>
    <w:p w14:paraId="5C28F926">
      <w:pPr>
        <w:pStyle w:val="2"/>
        <w:keepNext w:val="0"/>
        <w:keepLines w:val="0"/>
        <w:pageBreakBefore w:val="0"/>
        <w:widowControl w:val="0"/>
        <w:kinsoku/>
        <w:wordWrap/>
        <w:overflowPunct/>
        <w:topLinePunct w:val="0"/>
        <w:autoSpaceDE/>
        <w:autoSpaceDN/>
        <w:bidi w:val="0"/>
        <w:adjustRightInd/>
        <w:snapToGrid/>
        <w:spacing w:line="540" w:lineRule="exact"/>
        <w:ind w:firstLine="480"/>
        <w:textAlignment w:val="auto"/>
        <w:rPr>
          <w:rFonts w:hint="default" w:ascii="Times New Roman" w:hAnsi="Times New Roman" w:eastAsia="仿宋_GB2312" w:cs="Times New Roman"/>
          <w:sz w:val="32"/>
          <w:szCs w:val="32"/>
        </w:rPr>
      </w:pPr>
    </w:p>
    <w:p w14:paraId="18A3E176">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w:t>
      </w:r>
      <w:r>
        <w:rPr>
          <w:rFonts w:hint="default" w:ascii="Times New Roman" w:hAnsi="Times New Roman" w:eastAsia="仿宋_GB2312" w:cs="Times New Roman"/>
          <w:b/>
          <w:bCs/>
          <w:spacing w:val="3"/>
          <w:sz w:val="32"/>
          <w:szCs w:val="32"/>
        </w:rPr>
        <w:t>标</w:t>
      </w:r>
      <w:r>
        <w:rPr>
          <w:rFonts w:hint="default" w:ascii="Times New Roman" w:hAnsi="Times New Roman" w:eastAsia="仿宋_GB2312" w:cs="Times New Roman"/>
          <w:b/>
          <w:bCs/>
          <w:spacing w:val="2"/>
          <w:sz w:val="32"/>
          <w:szCs w:val="32"/>
        </w:rPr>
        <w:t>21：需要进行智慧化改造的小区数量（个）</w:t>
      </w:r>
    </w:p>
    <w:p w14:paraId="07C8537E">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144F3C8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民政部、住房和城乡建设部等部门《关于深入推进智慧社区建设的意见》要求，查找未安装智能信包箱、智能快递柜、智能安防设施及系统建设不完善等问题。有条件的，查找智慧社区综合信息平台建设、公共服务信息化建设等方面的差距和不足。</w:t>
      </w:r>
    </w:p>
    <w:p w14:paraId="2CD06BA2">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61E76F1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是否存在未安装智能信包箱、智能快递柜的问题。</w:t>
      </w:r>
    </w:p>
    <w:p w14:paraId="5F65FA0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是否存在智能安防设施及系统建设不完善，社区安全防范能力不足。</w:t>
      </w:r>
    </w:p>
    <w:p w14:paraId="5E4508F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3</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有条件的，查找智慧社区综合信息平台建设、公共服务信息化建设等方面的差距和不足，如社区综合信息平台信息不完善，社区政务、自助便民服务等公共服务信息化系统服务不方便，智慧安全管理等不到位等问题。</w:t>
      </w:r>
    </w:p>
    <w:p w14:paraId="68B26D6D">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09A2542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数量情况：小区物业提供或现场调研。</w:t>
      </w:r>
    </w:p>
    <w:p w14:paraId="1ADD3ED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位置情况：社区管理员或专业人员现场调研，现场底图标注。</w:t>
      </w:r>
    </w:p>
    <w:p w14:paraId="051D4125">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【示范案例】</w:t>
      </w:r>
    </w:p>
    <w:p w14:paraId="583A35B2">
      <w:pPr>
        <w:pStyle w:val="2"/>
        <w:rPr>
          <w:rFonts w:hint="default" w:ascii="Times New Roman" w:hAnsi="Times New Roman" w:cs="Times New Roman"/>
        </w:rPr>
      </w:pPr>
    </w:p>
    <w:p w14:paraId="25D8229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b/>
          <w:bCs/>
          <w:spacing w:val="1"/>
          <w:sz w:val="32"/>
          <w:szCs w:val="32"/>
        </w:rPr>
      </w:pPr>
      <w:r>
        <w:rPr>
          <w:rFonts w:hint="default" w:ascii="Times New Roman" w:hAnsi="Times New Roman" w:eastAsia="仿宋_GB2312" w:cs="Times New Roman"/>
          <w:b/>
          <w:bCs/>
          <w:spacing w:val="2"/>
          <w:sz w:val="32"/>
          <w:szCs w:val="32"/>
        </w:rPr>
        <w:t>_</w:t>
      </w:r>
      <w:r>
        <w:rPr>
          <w:rFonts w:hint="default" w:ascii="Times New Roman" w:hAnsi="Times New Roman" w:eastAsia="仿宋_GB2312" w:cs="Times New Roman"/>
          <w:b/>
          <w:bCs/>
          <w:spacing w:val="1"/>
          <w:sz w:val="32"/>
          <w:szCs w:val="32"/>
        </w:rPr>
        <w:t>____社区维度具体问题</w:t>
      </w:r>
    </w:p>
    <w:p w14:paraId="0EDD4430">
      <w:pPr>
        <w:pStyle w:val="2"/>
        <w:rPr>
          <w:rFonts w:hint="default" w:ascii="Times New Roman" w:hAnsi="Times New Roman" w:cs="Times New Roman"/>
        </w:rPr>
      </w:pPr>
    </w:p>
    <w:tbl>
      <w:tblPr>
        <w:tblStyle w:val="57"/>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446"/>
        <w:gridCol w:w="5866"/>
      </w:tblGrid>
      <w:tr w14:paraId="1B680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jc w:val="center"/>
        </w:trPr>
        <w:tc>
          <w:tcPr>
            <w:tcW w:w="0" w:type="auto"/>
            <w:vAlign w:val="center"/>
          </w:tcPr>
          <w:p w14:paraId="5537835C">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4"/>
                <w:sz w:val="24"/>
                <w:szCs w:val="24"/>
              </w:rPr>
              <w:t>问题</w:t>
            </w:r>
          </w:p>
        </w:tc>
        <w:tc>
          <w:tcPr>
            <w:tcW w:w="0" w:type="auto"/>
            <w:vAlign w:val="center"/>
          </w:tcPr>
          <w:p w14:paraId="0A59406C">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11"/>
                <w:sz w:val="24"/>
                <w:szCs w:val="24"/>
              </w:rPr>
              <w:t>图</w:t>
            </w:r>
            <w:r>
              <w:rPr>
                <w:rFonts w:hint="default" w:ascii="Times New Roman" w:hAnsi="Times New Roman" w:eastAsia="仿宋" w:cs="Times New Roman"/>
                <w:b/>
                <w:bCs/>
                <w:spacing w:val="-10"/>
                <w:sz w:val="24"/>
                <w:szCs w:val="24"/>
              </w:rPr>
              <w:t>片照片</w:t>
            </w:r>
          </w:p>
        </w:tc>
      </w:tr>
      <w:tr w14:paraId="34F02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2" w:hRule="atLeast"/>
          <w:jc w:val="center"/>
        </w:trPr>
        <w:tc>
          <w:tcPr>
            <w:tcW w:w="0" w:type="auto"/>
            <w:vAlign w:val="center"/>
          </w:tcPr>
          <w:p w14:paraId="75DC008D">
            <w:pPr>
              <w:spacing w:line="240" w:lineRule="auto"/>
              <w:ind w:firstLine="12"/>
              <w:jc w:val="center"/>
              <w:rPr>
                <w:rFonts w:hint="default" w:ascii="Times New Roman" w:hAnsi="Times New Roman" w:eastAsia="仿宋" w:cs="Times New Roman"/>
                <w:sz w:val="24"/>
                <w:szCs w:val="24"/>
              </w:rPr>
            </w:pPr>
            <w:r>
              <w:rPr>
                <w:rFonts w:hint="eastAsia" w:ascii="仿宋_GB2312" w:hAnsi="仿宋_GB2312" w:eastAsia="仿宋_GB2312" w:cs="仿宋_GB2312"/>
                <w:spacing w:val="0"/>
                <w:w w:val="100"/>
                <w:sz w:val="24"/>
                <w:szCs w:val="24"/>
              </w:rPr>
              <w:t>1.智慧社区综合信息平台尚未建设完成。缺少智慧旧物回收设备。</w:t>
            </w:r>
          </w:p>
        </w:tc>
        <w:tc>
          <w:tcPr>
            <w:tcW w:w="0" w:type="auto"/>
            <w:vAlign w:val="center"/>
          </w:tcPr>
          <w:p w14:paraId="2E7D8478">
            <w:pPr>
              <w:spacing w:line="240" w:lineRule="auto"/>
              <w:ind w:firstLine="505"/>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3400425" cy="2438400"/>
                  <wp:effectExtent l="0" t="0" r="0" b="0"/>
                  <wp:docPr id="45" name="IM 42"/>
                  <wp:cNvGraphicFramePr/>
                  <a:graphic xmlns:a="http://schemas.openxmlformats.org/drawingml/2006/main">
                    <a:graphicData uri="http://schemas.openxmlformats.org/drawingml/2006/picture">
                      <pic:pic xmlns:pic="http://schemas.openxmlformats.org/drawingml/2006/picture">
                        <pic:nvPicPr>
                          <pic:cNvPr id="45" name="IM 42"/>
                          <pic:cNvPicPr>
                            <a:picLocks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3400425" cy="2438400"/>
                          </a:xfrm>
                          <a:prstGeom prst="rect">
                            <a:avLst/>
                          </a:prstGeom>
                          <a:noFill/>
                          <a:ln>
                            <a:noFill/>
                          </a:ln>
                        </pic:spPr>
                      </pic:pic>
                    </a:graphicData>
                  </a:graphic>
                </wp:inline>
              </w:drawing>
            </w:r>
          </w:p>
        </w:tc>
      </w:tr>
    </w:tbl>
    <w:p w14:paraId="59743FE3">
      <w:pPr>
        <w:spacing w:line="360" w:lineRule="auto"/>
        <w:rPr>
          <w:rFonts w:hint="default" w:ascii="Times New Roman" w:hAnsi="Times New Roman" w:eastAsia="仿宋_GB2312" w:cs="Times New Roman"/>
          <w:b/>
          <w:bCs/>
          <w:spacing w:val="5"/>
          <w:position w:val="2"/>
          <w:sz w:val="32"/>
          <w:szCs w:val="32"/>
        </w:rPr>
      </w:pPr>
      <w:r>
        <w:rPr>
          <w:rFonts w:hint="default" w:ascii="Times New Roman" w:hAnsi="Times New Roman" w:eastAsia="仿宋_GB2312" w:cs="Times New Roman"/>
          <w:b/>
          <w:bCs/>
          <w:spacing w:val="5"/>
          <w:position w:val="2"/>
          <w:sz w:val="32"/>
          <w:szCs w:val="32"/>
        </w:rPr>
        <w:t>三、街区维度</w:t>
      </w:r>
    </w:p>
    <w:p w14:paraId="19CCDAD7">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统计对象：建成区范围所涉及的街道（乡镇）。</w:t>
      </w:r>
    </w:p>
    <w:p w14:paraId="604AB7DA">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空间范围：（1）以城市市辖区范围内街道（包括城市建成区范围内乡镇）作为基本单元，街区划定原则上不打破行政区边界，可结合城市自然环境、道路系统做适当调整。（2）规模大于3平方公里的街道（乡镇），按照15分钟生活圈范围划定标准统计单元；标准统计单元根据相关标准规范进行核算，根据统计结果核算到街道（乡镇）。</w:t>
      </w:r>
    </w:p>
    <w:p w14:paraId="72689973">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体检方式：由多专业技术人员、街道（乡镇）工作人员组成联合工作组，开展数据填报及汇总工作。根据街道的面积与人口规模，按照街道边界统计；数据汇总以街道为基本单元，填报整理后统一汇总至街道所属区住建局。街区维度调查表详见附录5。</w:t>
      </w:r>
    </w:p>
    <w:p w14:paraId="4B0E0E86">
      <w:pPr>
        <w:pStyle w:val="2"/>
        <w:ind w:firstLine="480"/>
        <w:rPr>
          <w:rFonts w:hint="default" w:ascii="Times New Roman" w:hAnsi="Times New Roman" w:eastAsia="仿宋_GB2312" w:cs="Times New Roman"/>
          <w:sz w:val="32"/>
          <w:szCs w:val="32"/>
        </w:rPr>
      </w:pPr>
    </w:p>
    <w:p w14:paraId="7B03A162">
      <w:pPr>
        <w:spacing w:line="360" w:lineRule="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6"/>
          <w:sz w:val="32"/>
          <w:szCs w:val="32"/>
        </w:rPr>
        <w:t>指</w:t>
      </w:r>
      <w:r>
        <w:rPr>
          <w:rFonts w:hint="default" w:ascii="Times New Roman" w:hAnsi="Times New Roman" w:eastAsia="仿宋_GB2312" w:cs="Times New Roman"/>
          <w:b/>
          <w:bCs/>
          <w:spacing w:val="4"/>
          <w:sz w:val="32"/>
          <w:szCs w:val="32"/>
        </w:rPr>
        <w:t>标22：中学服务半径覆盖率（%</w:t>
      </w:r>
      <w:r>
        <w:rPr>
          <w:rFonts w:hint="default" w:ascii="Times New Roman" w:hAnsi="Times New Roman" w:eastAsia="仿宋_GB2312" w:cs="Times New Roman"/>
          <w:b/>
          <w:bCs/>
          <w:iCs/>
          <w:color w:val="000000"/>
          <w:sz w:val="32"/>
          <w:szCs w:val="32"/>
        </w:rPr>
        <w:t>）</w:t>
      </w:r>
    </w:p>
    <w:p w14:paraId="144DF1C3">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0173FFC1">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调查分析中学1公里服务半径覆盖的居住用地面积，占所在街道总居住用地面积的百分比，查找中学学位供给与适龄青少年就近入学需求方面的差距和不足。</w:t>
      </w:r>
    </w:p>
    <w:p w14:paraId="396A070A">
      <w:pPr>
        <w:spacing w:line="360" w:lineRule="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【指标解释】</w:t>
      </w:r>
    </w:p>
    <w:p w14:paraId="07B9C2AA">
      <w:pPr>
        <w:spacing w:line="360" w:lineRule="auto"/>
        <w:ind w:firstLine="480" w:firstLineChars="200"/>
        <w:rPr>
          <w:rFonts w:hint="default" w:ascii="Times New Roman" w:hAnsi="Times New Roman" w:eastAsia="仿宋_GB2312" w:cs="Times New Roman"/>
          <w:i w:val="0"/>
          <w:iCs/>
          <w:color w:val="000000"/>
          <w:sz w:val="24"/>
          <w:szCs w:val="24"/>
        </w:rPr>
      </w:pPr>
      <m:oMathPara>
        <m:oMath>
          <m:f>
            <m:fPr>
              <m:ctrlPr>
                <w:rPr>
                  <w:rFonts w:hint="default" w:ascii="Cambria Math" w:hAnsi="Cambria Math" w:eastAsia="仿宋_GB2312" w:cs="Times New Roman"/>
                  <w:iCs/>
                  <w:color w:val="000000"/>
                  <w:sz w:val="24"/>
                  <w:szCs w:val="24"/>
                </w:rPr>
              </m:ctrlPr>
            </m:fPr>
            <m:num>
              <m:r>
                <m:rPr>
                  <m:sty m:val="p"/>
                </m:rPr>
                <w:rPr>
                  <w:rFonts w:hint="default" w:ascii="Cambria Math" w:hAnsi="Cambria Math" w:eastAsia="仿宋_GB2312" w:cs="Times New Roman"/>
                  <w:color w:val="000000"/>
                  <w:sz w:val="24"/>
                  <w:szCs w:val="24"/>
                </w:rPr>
                <m:t>初级中学、九年制学校1公里服务半径覆盖的居住用地面积</m:t>
              </m:r>
              <m:ctrlPr>
                <w:rPr>
                  <w:rFonts w:hint="default" w:ascii="Cambria Math" w:hAnsi="Cambria Math" w:eastAsia="仿宋_GB2312" w:cs="Times New Roman"/>
                  <w:iCs/>
                  <w:color w:val="000000"/>
                  <w:sz w:val="24"/>
                  <w:szCs w:val="24"/>
                </w:rPr>
              </m:ctrlPr>
            </m:num>
            <m:den>
              <m:r>
                <m:rPr>
                  <m:sty m:val="p"/>
                </m:rPr>
                <w:rPr>
                  <w:rFonts w:hint="default" w:ascii="Cambria Math" w:hAnsi="Cambria Math" w:eastAsia="仿宋_GB2312" w:cs="Times New Roman"/>
                  <w:color w:val="000000"/>
                  <w:sz w:val="24"/>
                  <w:szCs w:val="24"/>
                </w:rPr>
                <m:t>街道内居住用地总面积</m:t>
              </m:r>
              <m:ctrlPr>
                <w:rPr>
                  <w:rFonts w:hint="default" w:ascii="Cambria Math" w:hAnsi="Cambria Math" w:eastAsia="仿宋_GB2312" w:cs="Times New Roman"/>
                  <w:iCs/>
                  <w:color w:val="000000"/>
                  <w:sz w:val="24"/>
                  <w:szCs w:val="24"/>
                </w:rPr>
              </m:ctrlPr>
            </m:den>
          </m:f>
          <m:r>
            <m:rPr>
              <m:sty m:val="p"/>
            </m:rPr>
            <w:rPr>
              <w:rFonts w:hint="default" w:ascii="Cambria Math" w:hAnsi="Cambria Math" w:eastAsia="仿宋_GB2312" w:cs="Times New Roman"/>
              <w:color w:val="000000"/>
              <w:sz w:val="24"/>
              <w:szCs w:val="24"/>
            </w:rPr>
            <m:t>×100%</m:t>
          </m:r>
        </m:oMath>
      </m:oMathPara>
    </w:p>
    <w:p w14:paraId="48C4F070">
      <w:pPr>
        <w:spacing w:line="360" w:lineRule="auto"/>
        <w:ind w:firstLine="768" w:firstLineChars="300"/>
        <w:rPr>
          <w:rFonts w:hint="default" w:ascii="Times New Roman" w:hAnsi="Times New Roman" w:eastAsia="仿宋_GB2312" w:cs="Times New Roman"/>
          <w:sz w:val="32"/>
          <w:szCs w:val="32"/>
        </w:rPr>
      </w:pPr>
      <w:r>
        <w:rPr>
          <w:rFonts w:hint="default" w:ascii="Times New Roman" w:hAnsi="Times New Roman" w:eastAsia="仿宋_GB2312" w:cs="Times New Roman"/>
          <w:spacing w:val="-32"/>
          <w:sz w:val="32"/>
          <w:szCs w:val="32"/>
        </w:rPr>
        <w:t>根</w:t>
      </w:r>
      <w:r>
        <w:rPr>
          <w:rFonts w:hint="default" w:ascii="Times New Roman" w:hAnsi="Times New Roman" w:eastAsia="仿宋_GB2312" w:cs="Times New Roman"/>
          <w:spacing w:val="-18"/>
          <w:sz w:val="32"/>
          <w:szCs w:val="32"/>
        </w:rPr>
        <w:t>据</w:t>
      </w:r>
      <w:r>
        <w:rPr>
          <w:rFonts w:hint="default" w:ascii="Times New Roman" w:hAnsi="Times New Roman" w:eastAsia="仿宋_GB2312" w:cs="Times New Roman"/>
          <w:spacing w:val="-16"/>
          <w:sz w:val="32"/>
          <w:szCs w:val="32"/>
        </w:rPr>
        <w:t>《城市居住区规划设计标准》，要求建立15分钟生活圈，即</w:t>
      </w:r>
      <w:r>
        <w:rPr>
          <w:rFonts w:hint="default" w:ascii="Times New Roman" w:hAnsi="Times New Roman" w:eastAsia="仿宋_GB2312" w:cs="Times New Roman"/>
          <w:spacing w:val="-18"/>
          <w:sz w:val="32"/>
          <w:szCs w:val="32"/>
        </w:rPr>
        <w:t>1</w:t>
      </w:r>
      <w:r>
        <w:rPr>
          <w:rFonts w:hint="default" w:ascii="Times New Roman" w:hAnsi="Times New Roman" w:eastAsia="仿宋_GB2312" w:cs="Times New Roman"/>
          <w:spacing w:val="-10"/>
          <w:sz w:val="32"/>
          <w:szCs w:val="32"/>
        </w:rPr>
        <w:t>5分钟内步行可达各类生活服务设施，服务半径为800-1000米，与</w:t>
      </w:r>
      <w:r>
        <w:rPr>
          <w:rFonts w:hint="default" w:ascii="Times New Roman" w:hAnsi="Times New Roman" w:eastAsia="仿宋_GB2312" w:cs="Times New Roman"/>
          <w:spacing w:val="-2"/>
          <w:sz w:val="32"/>
          <w:szCs w:val="32"/>
        </w:rPr>
        <w:t>街</w:t>
      </w:r>
      <w:r>
        <w:rPr>
          <w:rFonts w:hint="default" w:ascii="Times New Roman" w:hAnsi="Times New Roman" w:eastAsia="仿宋_GB2312" w:cs="Times New Roman"/>
          <w:spacing w:val="-1"/>
          <w:sz w:val="32"/>
          <w:szCs w:val="32"/>
        </w:rPr>
        <w:t>区、街道的管理和服务范围相衔接。</w:t>
      </w:r>
    </w:p>
    <w:p w14:paraId="42D6DAA8">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27382F3C">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数量：专业部门或街道提供。</w:t>
      </w:r>
    </w:p>
    <w:p w14:paraId="3822FDC6">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位置：街道管理员或专业人员现场调研核查，现场底图标注。</w:t>
      </w:r>
    </w:p>
    <w:p w14:paraId="600E94B2">
      <w:pPr>
        <w:spacing w:line="360" w:lineRule="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【示范案例】</w:t>
      </w:r>
    </w:p>
    <w:p w14:paraId="715DBFBD">
      <w:pPr>
        <w:pStyle w:val="2"/>
        <w:rPr>
          <w:rFonts w:hint="default" w:ascii="Times New Roman" w:hAnsi="Times New Roman" w:cs="Times New Roman"/>
        </w:rPr>
      </w:pPr>
    </w:p>
    <w:p w14:paraId="68EE07BB">
      <w:pPr>
        <w:spacing w:line="360" w:lineRule="auto"/>
        <w:jc w:val="center"/>
        <w:rPr>
          <w:rFonts w:hint="default" w:ascii="Times New Roman" w:hAnsi="Times New Roman" w:eastAsia="仿宋_GB2312" w:cs="Times New Roman"/>
          <w:b/>
          <w:bCs/>
          <w:spacing w:val="1"/>
          <w:sz w:val="32"/>
          <w:szCs w:val="32"/>
        </w:rPr>
      </w:pPr>
      <w:r>
        <w:rPr>
          <w:rFonts w:hint="default" w:ascii="Times New Roman" w:hAnsi="Times New Roman" w:eastAsia="仿宋_GB2312" w:cs="Times New Roman"/>
          <w:b/>
          <w:bCs/>
          <w:spacing w:val="2"/>
          <w:sz w:val="32"/>
          <w:szCs w:val="32"/>
        </w:rPr>
        <w:t>___</w:t>
      </w:r>
      <w:r>
        <w:rPr>
          <w:rFonts w:hint="default" w:ascii="Times New Roman" w:hAnsi="Times New Roman" w:eastAsia="仿宋_GB2312" w:cs="Times New Roman"/>
          <w:b/>
          <w:bCs/>
          <w:spacing w:val="1"/>
          <w:sz w:val="32"/>
          <w:szCs w:val="32"/>
        </w:rPr>
        <w:t>__街道维度具体问题</w:t>
      </w:r>
    </w:p>
    <w:p w14:paraId="4E91BAFC">
      <w:pPr>
        <w:pStyle w:val="2"/>
        <w:rPr>
          <w:rFonts w:hint="default" w:ascii="Times New Roman" w:hAnsi="Times New Roman" w:cs="Times New Roman"/>
        </w:rPr>
      </w:pPr>
    </w:p>
    <w:tbl>
      <w:tblPr>
        <w:tblStyle w:val="57"/>
        <w:tblW w:w="852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911"/>
        <w:gridCol w:w="5617"/>
      </w:tblGrid>
      <w:tr w14:paraId="0C5C4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6" w:hRule="atLeast"/>
          <w:jc w:val="center"/>
        </w:trPr>
        <w:tc>
          <w:tcPr>
            <w:tcW w:w="2911" w:type="dxa"/>
            <w:tcBorders>
              <w:top w:val="single" w:color="000000" w:sz="2" w:space="0"/>
              <w:bottom w:val="single" w:color="000000" w:sz="2" w:space="0"/>
            </w:tcBorders>
            <w:vAlign w:val="center"/>
          </w:tcPr>
          <w:p w14:paraId="29B5CA5F">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4"/>
                <w:sz w:val="24"/>
                <w:szCs w:val="24"/>
              </w:rPr>
              <w:t>问题</w:t>
            </w:r>
          </w:p>
        </w:tc>
        <w:tc>
          <w:tcPr>
            <w:tcW w:w="5617" w:type="dxa"/>
            <w:tcBorders>
              <w:top w:val="single" w:color="000000" w:sz="2" w:space="0"/>
              <w:bottom w:val="single" w:color="000000" w:sz="2" w:space="0"/>
            </w:tcBorders>
            <w:vAlign w:val="center"/>
          </w:tcPr>
          <w:p w14:paraId="0FF544AD">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11"/>
                <w:sz w:val="24"/>
                <w:szCs w:val="24"/>
              </w:rPr>
              <w:t>图</w:t>
            </w:r>
            <w:r>
              <w:rPr>
                <w:rFonts w:hint="default" w:ascii="Times New Roman" w:hAnsi="Times New Roman" w:eastAsia="仿宋" w:cs="Times New Roman"/>
                <w:b/>
                <w:bCs/>
                <w:spacing w:val="-10"/>
                <w:sz w:val="24"/>
                <w:szCs w:val="24"/>
              </w:rPr>
              <w:t>片照片</w:t>
            </w:r>
          </w:p>
        </w:tc>
      </w:tr>
      <w:tr w14:paraId="5EF57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4" w:hRule="atLeast"/>
          <w:jc w:val="center"/>
        </w:trPr>
        <w:tc>
          <w:tcPr>
            <w:tcW w:w="2911" w:type="dxa"/>
            <w:tcBorders>
              <w:top w:val="single" w:color="000000" w:sz="2" w:space="0"/>
              <w:bottom w:val="single" w:color="000000" w:sz="2" w:space="0"/>
            </w:tcBorders>
            <w:vAlign w:val="center"/>
          </w:tcPr>
          <w:p w14:paraId="7B1B8A95">
            <w:pPr>
              <w:spacing w:line="240" w:lineRule="auto"/>
              <w:jc w:val="center"/>
              <w:rPr>
                <w:rFonts w:hint="default" w:ascii="Times New Roman" w:hAnsi="Times New Roman" w:eastAsia="仿宋" w:cs="Times New Roman"/>
                <w:sz w:val="24"/>
                <w:szCs w:val="24"/>
              </w:rPr>
            </w:pPr>
            <w:r>
              <w:rPr>
                <w:rFonts w:hint="eastAsia" w:ascii="仿宋_GB2312" w:hAnsi="仿宋_GB2312" w:eastAsia="仿宋_GB2312" w:cs="仿宋_GB2312"/>
                <w:spacing w:val="0"/>
                <w:sz w:val="24"/>
                <w:szCs w:val="24"/>
              </w:rPr>
              <w:t>街道辖区内建有四所中学，分别为：**中学、**中学、**中学、**中学。西南和东北角部分社区未在街道中学1公里服务半径内，需要跨街道统筹。</w:t>
            </w:r>
          </w:p>
        </w:tc>
        <w:tc>
          <w:tcPr>
            <w:tcW w:w="5617" w:type="dxa"/>
            <w:tcBorders>
              <w:top w:val="single" w:color="000000" w:sz="2" w:space="0"/>
              <w:bottom w:val="single" w:color="000000" w:sz="2" w:space="0"/>
            </w:tcBorders>
            <w:vAlign w:val="center"/>
          </w:tcPr>
          <w:p w14:paraId="5EC77EBA">
            <w:pPr>
              <w:spacing w:line="240" w:lineRule="auto"/>
              <w:ind w:left="0" w:leftChars="0" w:right="0" w:rightChars="0"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466975" cy="2914650"/>
                  <wp:effectExtent l="0" t="0" r="0" b="0"/>
                  <wp:docPr id="47" name="IM 44"/>
                  <wp:cNvGraphicFramePr/>
                  <a:graphic xmlns:a="http://schemas.openxmlformats.org/drawingml/2006/main">
                    <a:graphicData uri="http://schemas.openxmlformats.org/drawingml/2006/picture">
                      <pic:pic xmlns:pic="http://schemas.openxmlformats.org/drawingml/2006/picture">
                        <pic:nvPicPr>
                          <pic:cNvPr id="47" name="IM 44"/>
                          <pic:cNvPicPr>
                            <a:picLocks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2466975" cy="2914650"/>
                          </a:xfrm>
                          <a:prstGeom prst="rect">
                            <a:avLst/>
                          </a:prstGeom>
                          <a:noFill/>
                          <a:ln>
                            <a:noFill/>
                          </a:ln>
                        </pic:spPr>
                      </pic:pic>
                    </a:graphicData>
                  </a:graphic>
                </wp:inline>
              </w:drawing>
            </w:r>
          </w:p>
        </w:tc>
      </w:tr>
    </w:tbl>
    <w:p w14:paraId="6F5FD2A0">
      <w:pPr>
        <w:spacing w:line="360" w:lineRule="auto"/>
        <w:rPr>
          <w:rFonts w:hint="default" w:ascii="Times New Roman" w:hAnsi="Times New Roman" w:eastAsia="楷体" w:cs="Times New Roman"/>
          <w:spacing w:val="4"/>
          <w:sz w:val="24"/>
          <w:szCs w:val="24"/>
        </w:rPr>
      </w:pPr>
    </w:p>
    <w:p w14:paraId="52F930DD">
      <w:pPr>
        <w:rPr>
          <w:rFonts w:hint="default" w:ascii="Times New Roman" w:hAnsi="Times New Roman" w:eastAsia="仿宋_GB2312" w:cs="Times New Roman"/>
          <w:b/>
          <w:bCs/>
          <w:spacing w:val="4"/>
          <w:sz w:val="32"/>
          <w:szCs w:val="32"/>
        </w:rPr>
      </w:pPr>
      <w:r>
        <w:rPr>
          <w:rFonts w:hint="default" w:ascii="Times New Roman" w:hAnsi="Times New Roman" w:eastAsia="仿宋_GB2312" w:cs="Times New Roman"/>
          <w:b/>
          <w:bCs/>
          <w:spacing w:val="4"/>
          <w:sz w:val="32"/>
          <w:szCs w:val="32"/>
        </w:rPr>
        <w:br w:type="page"/>
      </w:r>
    </w:p>
    <w:p w14:paraId="32AD82CE">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w:t>
      </w:r>
      <w:r>
        <w:rPr>
          <w:rFonts w:hint="default" w:ascii="Times New Roman" w:hAnsi="Times New Roman" w:eastAsia="仿宋_GB2312" w:cs="Times New Roman"/>
          <w:b/>
          <w:bCs/>
          <w:spacing w:val="2"/>
          <w:sz w:val="32"/>
          <w:szCs w:val="32"/>
        </w:rPr>
        <w:t>标23：未达标配建的多功能运动场地数量（个）</w:t>
      </w:r>
    </w:p>
    <w:p w14:paraId="7D0D2A8F">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072051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按照《城市社区多功能公共运动场配置要求》《城市居住区规划设计标准》要求，查找多功能运动场地配建缺失，或场地面积不足、设施设备不完善、布局不均衡，以及没有向公众开放等问题。</w:t>
      </w:r>
    </w:p>
    <w:p w14:paraId="6190CDBF">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251103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多功能运动场地是否配建。</w:t>
      </w:r>
    </w:p>
    <w:p w14:paraId="7511A7C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多功能运动场地面积是否达标（建筑面积不小于200平方米）。根据《城市居住区规划设计标准》</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GB50180-2018</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，十五分钟生活圈居住区应配建大型多功能运动场地，用地面积3150-5620平方米。</w:t>
      </w:r>
    </w:p>
    <w:p w14:paraId="507491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3</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多功能运动场地设施设备是否完善。</w:t>
      </w:r>
    </w:p>
    <w:p w14:paraId="25A256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4</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多功能运动场地布局是否均衡。</w:t>
      </w:r>
    </w:p>
    <w:p w14:paraId="426D4F3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5</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多功能运动场地是否面向公众。</w:t>
      </w:r>
    </w:p>
    <w:p w14:paraId="089FF5E0">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760EC6E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数量：专业部门或街道提供。</w:t>
      </w:r>
    </w:p>
    <w:p w14:paraId="7EDC3DF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面积：专业部门或街道提供，或按卫星图（或矢量文件）测量。</w:t>
      </w:r>
    </w:p>
    <w:p w14:paraId="240B6DB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位置：街道管理员或专业人员现场调研核查，现场底图标注。</w:t>
      </w:r>
    </w:p>
    <w:p w14:paraId="75A24F42">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【示范案例】</w:t>
      </w:r>
    </w:p>
    <w:p w14:paraId="4EA2E90C">
      <w:pPr>
        <w:pStyle w:val="2"/>
        <w:rPr>
          <w:rFonts w:hint="default" w:ascii="Times New Roman" w:hAnsi="Times New Roman" w:cs="Times New Roman"/>
        </w:rPr>
      </w:pPr>
    </w:p>
    <w:p w14:paraId="21C0574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spacing w:val="1"/>
          <w:sz w:val="32"/>
          <w:szCs w:val="32"/>
        </w:rPr>
      </w:pPr>
      <w:r>
        <w:rPr>
          <w:rFonts w:hint="default" w:ascii="Times New Roman" w:hAnsi="Times New Roman" w:eastAsia="仿宋_GB2312" w:cs="Times New Roman"/>
          <w:b/>
          <w:bCs/>
          <w:spacing w:val="2"/>
          <w:sz w:val="32"/>
          <w:szCs w:val="32"/>
        </w:rPr>
        <w:t>___</w:t>
      </w:r>
      <w:r>
        <w:rPr>
          <w:rFonts w:hint="default" w:ascii="Times New Roman" w:hAnsi="Times New Roman" w:eastAsia="仿宋_GB2312" w:cs="Times New Roman"/>
          <w:b/>
          <w:bCs/>
          <w:spacing w:val="1"/>
          <w:sz w:val="32"/>
          <w:szCs w:val="32"/>
        </w:rPr>
        <w:t>__街道维度具体问题</w:t>
      </w:r>
    </w:p>
    <w:p w14:paraId="429AF7D3">
      <w:pPr>
        <w:pStyle w:val="2"/>
        <w:rPr>
          <w:rFonts w:hint="default"/>
        </w:rPr>
      </w:pPr>
    </w:p>
    <w:tbl>
      <w:tblPr>
        <w:tblStyle w:val="57"/>
        <w:tblW w:w="82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109"/>
        <w:gridCol w:w="5170"/>
      </w:tblGrid>
      <w:tr w14:paraId="4ACC6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jc w:val="center"/>
        </w:trPr>
        <w:tc>
          <w:tcPr>
            <w:tcW w:w="3109" w:type="dxa"/>
            <w:tcBorders>
              <w:top w:val="single" w:color="000000" w:sz="2" w:space="0"/>
              <w:bottom w:val="single" w:color="000000" w:sz="2" w:space="0"/>
            </w:tcBorders>
            <w:vAlign w:val="center"/>
          </w:tcPr>
          <w:p w14:paraId="464D30B5">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4"/>
                <w:sz w:val="24"/>
                <w:szCs w:val="24"/>
              </w:rPr>
              <w:t>问题</w:t>
            </w:r>
          </w:p>
        </w:tc>
        <w:tc>
          <w:tcPr>
            <w:tcW w:w="5170" w:type="dxa"/>
            <w:tcBorders>
              <w:top w:val="single" w:color="000000" w:sz="2" w:space="0"/>
              <w:bottom w:val="single" w:color="000000" w:sz="2" w:space="0"/>
            </w:tcBorders>
            <w:vAlign w:val="center"/>
          </w:tcPr>
          <w:p w14:paraId="15611E9F">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11"/>
                <w:sz w:val="24"/>
                <w:szCs w:val="24"/>
              </w:rPr>
              <w:t>图</w:t>
            </w:r>
            <w:r>
              <w:rPr>
                <w:rFonts w:hint="default" w:ascii="Times New Roman" w:hAnsi="Times New Roman" w:eastAsia="仿宋" w:cs="Times New Roman"/>
                <w:b/>
                <w:bCs/>
                <w:spacing w:val="-10"/>
                <w:sz w:val="24"/>
                <w:szCs w:val="24"/>
              </w:rPr>
              <w:t>片照片</w:t>
            </w:r>
          </w:p>
        </w:tc>
      </w:tr>
      <w:tr w14:paraId="69FEA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86" w:hRule="atLeast"/>
          <w:jc w:val="center"/>
        </w:trPr>
        <w:tc>
          <w:tcPr>
            <w:tcW w:w="3109" w:type="dxa"/>
            <w:tcBorders>
              <w:top w:val="single" w:color="000000" w:sz="2" w:space="0"/>
              <w:bottom w:val="single" w:color="000000" w:sz="2" w:space="0"/>
            </w:tcBorders>
            <w:vAlign w:val="center"/>
          </w:tcPr>
          <w:p w14:paraId="227F9EBD">
            <w:pPr>
              <w:spacing w:line="240" w:lineRule="auto"/>
              <w:jc w:val="center"/>
              <w:rPr>
                <w:rFonts w:hint="default" w:ascii="Times New Roman" w:hAnsi="Times New Roman" w:cs="Times New Roman"/>
                <w:sz w:val="24"/>
                <w:szCs w:val="24"/>
              </w:rPr>
            </w:pPr>
          </w:p>
          <w:p w14:paraId="0951E39E">
            <w:pPr>
              <w:spacing w:line="240" w:lineRule="auto"/>
              <w:ind w:firstLine="7"/>
              <w:jc w:val="both"/>
              <w:rPr>
                <w:rFonts w:hint="default" w:ascii="Times New Roman" w:hAnsi="Times New Roman" w:eastAsia="仿宋" w:cs="Times New Roman"/>
                <w:sz w:val="24"/>
                <w:szCs w:val="24"/>
              </w:rPr>
            </w:pPr>
            <w:r>
              <w:rPr>
                <w:rFonts w:hint="eastAsia" w:ascii="仿宋_GB2312" w:hAnsi="仿宋_GB2312" w:eastAsia="仿宋_GB2312" w:cs="仿宋_GB2312"/>
                <w:spacing w:val="0"/>
                <w:sz w:val="24"/>
                <w:szCs w:val="24"/>
              </w:rPr>
              <w:t>街道辖区内有六个运动场地，分别为：**大学网球场、**大学操场、**大学前教育学院操场；**大学操场、**大学东校区操场；**单位篮球馆、羽毛球俱乐部。其中未达标配建的多功能运动场地数量</w:t>
            </w:r>
            <w:r>
              <w:rPr>
                <w:rFonts w:hint="eastAsia" w:ascii="仿宋_GB2312" w:hAnsi="仿宋_GB2312" w:eastAsia="仿宋_GB2312" w:cs="仿宋_GB2312"/>
                <w:spacing w:val="0"/>
                <w:sz w:val="24"/>
                <w:szCs w:val="24"/>
                <w:u w:val="single"/>
              </w:rPr>
              <w:t>1</w:t>
            </w:r>
            <w:r>
              <w:rPr>
                <w:rFonts w:hint="eastAsia" w:ascii="仿宋_GB2312" w:hAnsi="仿宋_GB2312" w:eastAsia="仿宋_GB2312" w:cs="仿宋_GB2312"/>
                <w:spacing w:val="0"/>
                <w:sz w:val="24"/>
                <w:szCs w:val="24"/>
              </w:rPr>
              <w:t>个。具体问题为：没有配建多功能运动场地；此外，部分高校运动场地疫情后没有向公众开放。</w:t>
            </w:r>
          </w:p>
        </w:tc>
        <w:tc>
          <w:tcPr>
            <w:tcW w:w="5170" w:type="dxa"/>
            <w:tcBorders>
              <w:top w:val="single" w:color="000000" w:sz="2" w:space="0"/>
              <w:bottom w:val="single" w:color="000000" w:sz="2" w:space="0"/>
            </w:tcBorders>
            <w:vAlign w:val="center"/>
          </w:tcPr>
          <w:p w14:paraId="0D2BDD16">
            <w:pPr>
              <w:spacing w:line="240" w:lineRule="auto"/>
              <w:ind w:firstLine="97"/>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3124200" cy="3619500"/>
                  <wp:effectExtent l="0" t="0" r="0" b="0"/>
                  <wp:docPr id="48" name="IM 45"/>
                  <wp:cNvGraphicFramePr/>
                  <a:graphic xmlns:a="http://schemas.openxmlformats.org/drawingml/2006/main">
                    <a:graphicData uri="http://schemas.openxmlformats.org/drawingml/2006/picture">
                      <pic:pic xmlns:pic="http://schemas.openxmlformats.org/drawingml/2006/picture">
                        <pic:nvPicPr>
                          <pic:cNvPr id="48" name="IM 45"/>
                          <pic:cNvPicPr>
                            <a:picLocks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3124200" cy="3619500"/>
                          </a:xfrm>
                          <a:prstGeom prst="rect">
                            <a:avLst/>
                          </a:prstGeom>
                          <a:noFill/>
                          <a:ln>
                            <a:noFill/>
                          </a:ln>
                        </pic:spPr>
                      </pic:pic>
                    </a:graphicData>
                  </a:graphic>
                </wp:inline>
              </w:drawing>
            </w:r>
          </w:p>
        </w:tc>
      </w:tr>
    </w:tbl>
    <w:p w14:paraId="64D8C008">
      <w:pPr>
        <w:spacing w:line="360" w:lineRule="auto"/>
        <w:rPr>
          <w:rFonts w:hint="default" w:ascii="Times New Roman" w:hAnsi="Times New Roman" w:cs="Times New Roman"/>
          <w:sz w:val="24"/>
          <w:szCs w:val="24"/>
        </w:rPr>
      </w:pPr>
    </w:p>
    <w:p w14:paraId="1BE9CBA5">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w:t>
      </w:r>
      <w:r>
        <w:rPr>
          <w:rFonts w:hint="default" w:ascii="Times New Roman" w:hAnsi="Times New Roman" w:eastAsia="仿宋_GB2312" w:cs="Times New Roman"/>
          <w:b/>
          <w:bCs/>
          <w:spacing w:val="3"/>
          <w:sz w:val="32"/>
          <w:szCs w:val="32"/>
        </w:rPr>
        <w:t>标</w:t>
      </w:r>
      <w:r>
        <w:rPr>
          <w:rFonts w:hint="default" w:ascii="Times New Roman" w:hAnsi="Times New Roman" w:eastAsia="仿宋_GB2312" w:cs="Times New Roman"/>
          <w:b/>
          <w:bCs/>
          <w:spacing w:val="2"/>
          <w:sz w:val="32"/>
          <w:szCs w:val="32"/>
        </w:rPr>
        <w:t>24：未达标配建的文化活动中心数量（个）</w:t>
      </w:r>
    </w:p>
    <w:p w14:paraId="0F4F0F47">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01A4446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按照《城市居住区规划设计标准》要求，查找文化活动中心配建缺失，或文化活动中心面积不足，青少年和老年活动设施、儿童之家服务功能不完善，布局不均衡，以及没有向公众开放等问题。</w:t>
      </w:r>
    </w:p>
    <w:p w14:paraId="79BA4D0F">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2AAD22F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文化活动中心是否配建。</w:t>
      </w:r>
    </w:p>
    <w:p w14:paraId="6ED0618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文化活动中心面积是否达标（建筑面积不小于2200平方米，用地面积不小于3500平方米）。根据《城市居住区规划设计标准》，十五分钟生活圈居住区应配建文化活动中心（含青少年活动中心、老年活动中心），建筑面积3000-6000平方米，用地面积3000-12000平方米。</w:t>
      </w:r>
    </w:p>
    <w:p w14:paraId="1E03EBF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3</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青少年和老年活动设施、儿童之家服务功能是否完善。</w:t>
      </w:r>
    </w:p>
    <w:p w14:paraId="63CB41F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4</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文化活动中心布局是否均衡。5.文化活动中心是否面向公众。</w:t>
      </w:r>
    </w:p>
    <w:p w14:paraId="11E4541B">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624D2A1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数量：专业部门或街道提供。</w:t>
      </w:r>
    </w:p>
    <w:p w14:paraId="43197A0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面积：专业部门或街道提供，或按卫星图（或矢量文件）测量。</w:t>
      </w:r>
    </w:p>
    <w:p w14:paraId="1E22698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位置：街道管理员或专业人员现场调研核查，现场底图标注。</w:t>
      </w:r>
    </w:p>
    <w:p w14:paraId="10AC6E51">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【示范案例】</w:t>
      </w:r>
    </w:p>
    <w:p w14:paraId="1C9A410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spacing w:val="1"/>
          <w:sz w:val="32"/>
          <w:szCs w:val="32"/>
        </w:rPr>
      </w:pPr>
      <w:r>
        <w:rPr>
          <w:rFonts w:hint="default" w:ascii="Times New Roman" w:hAnsi="Times New Roman" w:eastAsia="仿宋_GB2312" w:cs="Times New Roman"/>
          <w:b/>
          <w:bCs/>
          <w:spacing w:val="2"/>
          <w:sz w:val="32"/>
          <w:szCs w:val="32"/>
        </w:rPr>
        <w:t>_</w:t>
      </w:r>
      <w:r>
        <w:rPr>
          <w:rFonts w:hint="default" w:ascii="Times New Roman" w:hAnsi="Times New Roman" w:eastAsia="仿宋_GB2312" w:cs="Times New Roman"/>
          <w:b/>
          <w:bCs/>
          <w:spacing w:val="1"/>
          <w:sz w:val="32"/>
          <w:szCs w:val="32"/>
        </w:rPr>
        <w:t>____街道维度具体问题</w:t>
      </w:r>
    </w:p>
    <w:p w14:paraId="2443B78D">
      <w:pPr>
        <w:pStyle w:val="2"/>
        <w:rPr>
          <w:rFonts w:hint="default" w:ascii="Times New Roman" w:hAnsi="Times New Roman" w:cs="Times New Roman"/>
        </w:rPr>
      </w:pPr>
    </w:p>
    <w:tbl>
      <w:tblPr>
        <w:tblStyle w:val="5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3566"/>
        <w:gridCol w:w="4756"/>
      </w:tblGrid>
      <w:tr w14:paraId="0778A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jc w:val="center"/>
        </w:trPr>
        <w:tc>
          <w:tcPr>
            <w:tcW w:w="0" w:type="auto"/>
            <w:tcBorders>
              <w:top w:val="single" w:color="000000" w:sz="2" w:space="0"/>
              <w:bottom w:val="single" w:color="000000" w:sz="2" w:space="0"/>
            </w:tcBorders>
            <w:vAlign w:val="center"/>
          </w:tcPr>
          <w:p w14:paraId="516DAF16">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4"/>
                <w:sz w:val="24"/>
                <w:szCs w:val="24"/>
              </w:rPr>
              <w:t>问题</w:t>
            </w:r>
          </w:p>
        </w:tc>
        <w:tc>
          <w:tcPr>
            <w:tcW w:w="0" w:type="auto"/>
            <w:tcBorders>
              <w:top w:val="single" w:color="000000" w:sz="2" w:space="0"/>
              <w:bottom w:val="single" w:color="000000" w:sz="2" w:space="0"/>
            </w:tcBorders>
            <w:vAlign w:val="center"/>
          </w:tcPr>
          <w:p w14:paraId="50114ED7">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11"/>
                <w:sz w:val="24"/>
                <w:szCs w:val="24"/>
              </w:rPr>
              <w:t>图</w:t>
            </w:r>
            <w:r>
              <w:rPr>
                <w:rFonts w:hint="default" w:ascii="Times New Roman" w:hAnsi="Times New Roman" w:eastAsia="仿宋" w:cs="Times New Roman"/>
                <w:b/>
                <w:bCs/>
                <w:spacing w:val="-10"/>
                <w:sz w:val="24"/>
                <w:szCs w:val="24"/>
              </w:rPr>
              <w:t>片照片</w:t>
            </w:r>
          </w:p>
        </w:tc>
      </w:tr>
      <w:tr w14:paraId="54C24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2" w:hRule="atLeast"/>
          <w:jc w:val="center"/>
        </w:trPr>
        <w:tc>
          <w:tcPr>
            <w:tcW w:w="0" w:type="auto"/>
            <w:tcBorders>
              <w:top w:val="single" w:color="000000" w:sz="2" w:space="0"/>
              <w:bottom w:val="single" w:color="000000" w:sz="2" w:space="0"/>
            </w:tcBorders>
            <w:vAlign w:val="center"/>
          </w:tcPr>
          <w:p w14:paraId="0C598CCC">
            <w:pPr>
              <w:spacing w:line="240" w:lineRule="auto"/>
              <w:jc w:val="both"/>
              <w:rPr>
                <w:rFonts w:hint="default" w:ascii="Times New Roman" w:hAnsi="Times New Roman" w:eastAsia="仿宋" w:cs="Times New Roman"/>
                <w:sz w:val="24"/>
                <w:szCs w:val="24"/>
              </w:rPr>
            </w:pPr>
            <w:r>
              <w:rPr>
                <w:rFonts w:hint="default" w:ascii="仿宋_GB2312" w:hAnsi="仿宋_GB2312" w:eastAsia="仿宋_GB2312" w:cs="仿宋_GB2312"/>
                <w:spacing w:val="0"/>
                <w:sz w:val="24"/>
                <w:szCs w:val="24"/>
              </w:rPr>
              <w:t>辖区内共有2个文化活动中心，分别为：**街道青少年活动中心、**文化中心。未达标配建的文化活动中心数量0个，街道中部和西侧缺少文化活动中心。</w:t>
            </w:r>
          </w:p>
        </w:tc>
        <w:tc>
          <w:tcPr>
            <w:tcW w:w="0" w:type="auto"/>
            <w:tcBorders>
              <w:top w:val="single" w:color="000000" w:sz="2" w:space="0"/>
              <w:bottom w:val="single" w:color="000000" w:sz="2" w:space="0"/>
            </w:tcBorders>
            <w:vAlign w:val="center"/>
          </w:tcPr>
          <w:p w14:paraId="09AF6785">
            <w:pPr>
              <w:spacing w:line="240" w:lineRule="auto"/>
              <w:jc w:val="both"/>
              <w:textAlignment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3009900" cy="3552825"/>
                  <wp:effectExtent l="0" t="0" r="0" b="0"/>
                  <wp:docPr id="49" name="IM 46"/>
                  <wp:cNvGraphicFramePr/>
                  <a:graphic xmlns:a="http://schemas.openxmlformats.org/drawingml/2006/main">
                    <a:graphicData uri="http://schemas.openxmlformats.org/drawingml/2006/picture">
                      <pic:pic xmlns:pic="http://schemas.openxmlformats.org/drawingml/2006/picture">
                        <pic:nvPicPr>
                          <pic:cNvPr id="49" name="IM 46"/>
                          <pic:cNvPicPr>
                            <a:picLocks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3009900" cy="3552825"/>
                          </a:xfrm>
                          <a:prstGeom prst="rect">
                            <a:avLst/>
                          </a:prstGeom>
                          <a:noFill/>
                          <a:ln>
                            <a:noFill/>
                          </a:ln>
                        </pic:spPr>
                      </pic:pic>
                    </a:graphicData>
                  </a:graphic>
                </wp:inline>
              </w:drawing>
            </w:r>
          </w:p>
        </w:tc>
      </w:tr>
    </w:tbl>
    <w:p w14:paraId="044A2E9F">
      <w:pPr>
        <w:spacing w:line="360" w:lineRule="auto"/>
        <w:rPr>
          <w:rFonts w:hint="eastAsia" w:ascii="Times New Roman" w:hAnsi="Times New Roman" w:eastAsia="仿宋_GB2312" w:cs="Times New Roman"/>
          <w:b/>
          <w:bCs/>
          <w:sz w:val="32"/>
          <w:szCs w:val="32"/>
          <w:lang w:eastAsia="zh-CN"/>
        </w:rPr>
      </w:pPr>
      <w:r>
        <w:rPr>
          <w:rFonts w:hint="default" w:ascii="Times New Roman" w:hAnsi="Times New Roman" w:eastAsia="仿宋_GB2312" w:cs="Times New Roman"/>
          <w:b/>
          <w:bCs/>
          <w:spacing w:val="6"/>
          <w:sz w:val="32"/>
          <w:szCs w:val="32"/>
        </w:rPr>
        <w:t>指标</w:t>
      </w:r>
      <w:r>
        <w:rPr>
          <w:rFonts w:hint="default" w:ascii="Times New Roman" w:hAnsi="Times New Roman" w:eastAsia="仿宋_GB2312" w:cs="Times New Roman"/>
          <w:b/>
          <w:bCs/>
          <w:spacing w:val="3"/>
          <w:sz w:val="32"/>
          <w:szCs w:val="32"/>
        </w:rPr>
        <w:t>25：公园绿化活动场地服务半径覆盖率（%</w:t>
      </w:r>
      <w:r>
        <w:rPr>
          <w:rFonts w:hint="eastAsia" w:ascii="Times New Roman" w:hAnsi="Times New Roman" w:eastAsia="仿宋_GB2312" w:cs="Times New Roman"/>
          <w:b/>
          <w:bCs/>
          <w:spacing w:val="3"/>
          <w:sz w:val="32"/>
          <w:szCs w:val="32"/>
          <w:lang w:eastAsia="zh-CN"/>
        </w:rPr>
        <w:t>）</w:t>
      </w:r>
    </w:p>
    <w:p w14:paraId="453EC985">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40A32B84">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300米见绿，500米见园”以及公园绿地面积标准要求，调查分析公园绿化活动场地服务半径覆盖的居住用地面积，占所在街道居住用地总面积的百分比，查找公园绿化活动场地布局不均衡、面积不达标等问题。</w:t>
      </w:r>
    </w:p>
    <w:p w14:paraId="4575C83F">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2C9C9020">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公园绿化活动场地是否配建。</w:t>
      </w:r>
    </w:p>
    <w:p w14:paraId="6366318F">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公园绿化活动场地面积是否达标。根据《国家园林城市评选标准》</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2022版），国家生态园林城市公园绿化活动场地服务半径覆盖率≥90%；国家园林城市公园绿化活动场地服务半径覆盖率≥85%。</w:t>
      </w:r>
    </w:p>
    <w:p w14:paraId="0D22F0D9">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3</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公园绿化活动场地布局是否均衡。</w:t>
      </w:r>
    </w:p>
    <w:p w14:paraId="4F3EF9A6">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027BC48C">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数量范围：高分卫星遥感数据解译，专业部门提供，街道管理员或专业人员根据有关专业底图进行现场调研核查，现场底图标注。</w:t>
      </w:r>
    </w:p>
    <w:p w14:paraId="294B95AA">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测算方法：</w:t>
      </w:r>
      <m:oMath>
        <m:f>
          <m:fPr>
            <m:ctrlPr>
              <w:rPr>
                <w:rFonts w:hint="default" w:ascii="Cambria Math" w:hAnsi="Cambria Math" w:eastAsia="仿宋_GB2312" w:cs="Times New Roman"/>
                <w:iCs/>
                <w:color w:val="000000"/>
                <w:sz w:val="32"/>
                <w:szCs w:val="32"/>
              </w:rPr>
            </m:ctrlPr>
          </m:fPr>
          <m:num>
            <m:r>
              <m:rPr>
                <m:sty m:val="p"/>
              </m:rPr>
              <w:rPr>
                <w:rFonts w:hint="default" w:ascii="Cambria Math" w:hAnsi="Cambria Math" w:eastAsia="仿宋_GB2312" w:cs="Times New Roman"/>
                <w:color w:val="000000"/>
                <w:sz w:val="32"/>
                <w:szCs w:val="32"/>
              </w:rPr>
              <m:t>公园绿化活动场地服务半径覆盖的居住用地面积</m:t>
            </m:r>
            <m:ctrlPr>
              <w:rPr>
                <w:rFonts w:hint="default" w:ascii="Cambria Math" w:hAnsi="Cambria Math" w:eastAsia="仿宋_GB2312" w:cs="Times New Roman"/>
                <w:iCs/>
                <w:color w:val="000000"/>
                <w:sz w:val="32"/>
                <w:szCs w:val="32"/>
              </w:rPr>
            </m:ctrlPr>
          </m:num>
          <m:den>
            <m:r>
              <m:rPr>
                <m:sty m:val="p"/>
              </m:rPr>
              <w:rPr>
                <w:rFonts w:hint="default" w:ascii="Cambria Math" w:hAnsi="Cambria Math" w:eastAsia="仿宋_GB2312" w:cs="Times New Roman"/>
                <w:color w:val="000000"/>
                <w:sz w:val="32"/>
                <w:szCs w:val="32"/>
              </w:rPr>
              <m:t>街道内居住用地总面积</m:t>
            </m:r>
            <m:ctrlPr>
              <w:rPr>
                <w:rFonts w:hint="default" w:ascii="Cambria Math" w:hAnsi="Cambria Math" w:eastAsia="仿宋_GB2312" w:cs="Times New Roman"/>
                <w:iCs/>
                <w:color w:val="000000"/>
                <w:sz w:val="32"/>
                <w:szCs w:val="32"/>
              </w:rPr>
            </m:ctrlPr>
          </m:den>
        </m:f>
        <m:r>
          <m:rPr>
            <m:sty m:val="p"/>
          </m:rPr>
          <w:rPr>
            <w:rFonts w:hint="default" w:ascii="Cambria Math" w:hAnsi="Cambria Math" w:eastAsia="仿宋_GB2312" w:cs="Times New Roman"/>
            <w:color w:val="000000"/>
            <w:sz w:val="32"/>
            <w:szCs w:val="32"/>
          </w:rPr>
          <m:t>×100%</m:t>
        </m:r>
      </m:oMath>
    </w:p>
    <w:p w14:paraId="1B25F28A">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计算单元为街道。根据国家园林城市申报评选管理办法及评选标准，公园绿化活动场地包括公园绿地和绿化活动场地两种类型。其中绿化活动场地主要是指地方为满足群众活动需要，建设的以游憩为主要功能的公共活动场地，其绿化覆盖率达到50%以上。公园绿化活动场地服务半径以公园绿化活动场地各边界起算。</w:t>
      </w:r>
    </w:p>
    <w:p w14:paraId="0B76885C">
      <w:pPr>
        <w:spacing w:line="360" w:lineRule="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【示范案例】</w:t>
      </w:r>
    </w:p>
    <w:p w14:paraId="749573FC">
      <w:pPr>
        <w:spacing w:line="360" w:lineRule="auto"/>
        <w:jc w:val="center"/>
        <w:rPr>
          <w:rFonts w:hint="default" w:ascii="Times New Roman" w:hAnsi="Times New Roman" w:eastAsia="仿宋_GB2312" w:cs="Times New Roman"/>
          <w:b/>
          <w:bCs/>
          <w:spacing w:val="1"/>
          <w:sz w:val="32"/>
          <w:szCs w:val="32"/>
        </w:rPr>
      </w:pPr>
      <w:r>
        <w:rPr>
          <w:rFonts w:hint="default" w:ascii="Times New Roman" w:hAnsi="Times New Roman" w:eastAsia="仿宋_GB2312" w:cs="Times New Roman"/>
          <w:b/>
          <w:bCs/>
          <w:spacing w:val="2"/>
          <w:sz w:val="32"/>
          <w:szCs w:val="32"/>
        </w:rPr>
        <w:t>_</w:t>
      </w:r>
      <w:r>
        <w:rPr>
          <w:rFonts w:hint="default" w:ascii="Times New Roman" w:hAnsi="Times New Roman" w:eastAsia="仿宋_GB2312" w:cs="Times New Roman"/>
          <w:b/>
          <w:bCs/>
          <w:spacing w:val="1"/>
          <w:sz w:val="32"/>
          <w:szCs w:val="32"/>
        </w:rPr>
        <w:t>____街道维度具体问题</w:t>
      </w:r>
    </w:p>
    <w:p w14:paraId="3E2ED24C">
      <w:pPr>
        <w:pStyle w:val="2"/>
        <w:rPr>
          <w:rFonts w:hint="default" w:ascii="Times New Roman" w:hAnsi="Times New Roman" w:cs="Times New Roman"/>
        </w:rPr>
      </w:pPr>
    </w:p>
    <w:tbl>
      <w:tblPr>
        <w:tblStyle w:val="57"/>
        <w:tblW w:w="81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809"/>
        <w:gridCol w:w="5390"/>
      </w:tblGrid>
      <w:tr w14:paraId="5ED63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6" w:hRule="atLeast"/>
          <w:jc w:val="center"/>
        </w:trPr>
        <w:tc>
          <w:tcPr>
            <w:tcW w:w="2809" w:type="dxa"/>
            <w:tcBorders>
              <w:top w:val="single" w:color="000000" w:sz="2" w:space="0"/>
              <w:bottom w:val="single" w:color="000000" w:sz="2" w:space="0"/>
            </w:tcBorders>
            <w:vAlign w:val="center"/>
          </w:tcPr>
          <w:p w14:paraId="4644F23F">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4"/>
                <w:sz w:val="24"/>
                <w:szCs w:val="24"/>
              </w:rPr>
              <w:t>问题</w:t>
            </w:r>
          </w:p>
        </w:tc>
        <w:tc>
          <w:tcPr>
            <w:tcW w:w="5390" w:type="dxa"/>
            <w:tcBorders>
              <w:top w:val="single" w:color="000000" w:sz="2" w:space="0"/>
              <w:bottom w:val="single" w:color="000000" w:sz="2" w:space="0"/>
            </w:tcBorders>
            <w:vAlign w:val="center"/>
          </w:tcPr>
          <w:p w14:paraId="731BA0B1">
            <w:pPr>
              <w:spacing w:line="240" w:lineRule="auto"/>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pacing w:val="-11"/>
                <w:sz w:val="24"/>
                <w:szCs w:val="24"/>
              </w:rPr>
              <w:t>图</w:t>
            </w:r>
            <w:r>
              <w:rPr>
                <w:rFonts w:hint="default" w:ascii="Times New Roman" w:hAnsi="Times New Roman" w:eastAsia="仿宋" w:cs="Times New Roman"/>
                <w:b/>
                <w:bCs/>
                <w:spacing w:val="-10"/>
                <w:sz w:val="24"/>
                <w:szCs w:val="24"/>
              </w:rPr>
              <w:t>片照片</w:t>
            </w:r>
          </w:p>
        </w:tc>
      </w:tr>
      <w:tr w14:paraId="7EAAD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7" w:hRule="atLeast"/>
          <w:jc w:val="center"/>
        </w:trPr>
        <w:tc>
          <w:tcPr>
            <w:tcW w:w="2809" w:type="dxa"/>
            <w:tcBorders>
              <w:top w:val="single" w:color="000000" w:sz="2" w:space="0"/>
              <w:bottom w:val="single" w:color="000000" w:sz="2" w:space="0"/>
            </w:tcBorders>
            <w:vAlign w:val="center"/>
          </w:tcPr>
          <w:p w14:paraId="506F46D0">
            <w:pPr>
              <w:spacing w:line="240" w:lineRule="auto"/>
              <w:ind w:firstLine="9"/>
              <w:jc w:val="both"/>
              <w:rPr>
                <w:rFonts w:hint="default" w:ascii="Times New Roman" w:hAnsi="Times New Roman" w:eastAsia="仿宋" w:cs="Times New Roman"/>
                <w:sz w:val="24"/>
                <w:szCs w:val="24"/>
              </w:rPr>
            </w:pPr>
            <w:r>
              <w:rPr>
                <w:rFonts w:hint="default" w:ascii="仿宋_GB2312" w:hAnsi="仿宋_GB2312" w:eastAsia="仿宋_GB2312" w:cs="仿宋_GB2312"/>
                <w:spacing w:val="0"/>
                <w:sz w:val="24"/>
                <w:szCs w:val="24"/>
              </w:rPr>
              <w:t>辖区内有13个绿化活动场地和2个公园，公园绿化活动场地服务半径覆盖率94.14%。**、**、**社区等部分社区缺乏绿化活动场地。</w:t>
            </w:r>
          </w:p>
        </w:tc>
        <w:tc>
          <w:tcPr>
            <w:tcW w:w="5390" w:type="dxa"/>
            <w:tcBorders>
              <w:top w:val="single" w:color="000000" w:sz="2" w:space="0"/>
              <w:bottom w:val="single" w:color="000000" w:sz="2" w:space="0"/>
            </w:tcBorders>
            <w:vAlign w:val="center"/>
          </w:tcPr>
          <w:p w14:paraId="366E7FE8">
            <w:pPr>
              <w:spacing w:line="240" w:lineRule="auto"/>
              <w:ind w:firstLine="341"/>
              <w:jc w:val="center"/>
              <w:textAlignment w:val="center"/>
              <w:rPr>
                <w:rFonts w:hint="default" w:ascii="Times New Roman" w:hAnsi="Times New Roman" w:cs="Times New Roman"/>
                <w:sz w:val="24"/>
                <w:szCs w:val="24"/>
              </w:rPr>
            </w:pPr>
          </w:p>
          <w:p w14:paraId="6E123C48">
            <w:pPr>
              <w:spacing w:line="240" w:lineRule="auto"/>
              <w:ind w:firstLine="341"/>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512695" cy="2525395"/>
                  <wp:effectExtent l="0" t="0" r="1905" b="8255"/>
                  <wp:docPr id="51" name="IM 48"/>
                  <wp:cNvGraphicFramePr/>
                  <a:graphic xmlns:a="http://schemas.openxmlformats.org/drawingml/2006/main">
                    <a:graphicData uri="http://schemas.openxmlformats.org/drawingml/2006/picture">
                      <pic:pic xmlns:pic="http://schemas.openxmlformats.org/drawingml/2006/picture">
                        <pic:nvPicPr>
                          <pic:cNvPr id="51" name="IM 48"/>
                          <pic:cNvPicPr>
                            <a:picLocks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2512695" cy="2525395"/>
                          </a:xfrm>
                          <a:prstGeom prst="rect">
                            <a:avLst/>
                          </a:prstGeom>
                          <a:noFill/>
                          <a:ln>
                            <a:noFill/>
                          </a:ln>
                        </pic:spPr>
                      </pic:pic>
                    </a:graphicData>
                  </a:graphic>
                </wp:inline>
              </w:drawing>
            </w:r>
          </w:p>
        </w:tc>
      </w:tr>
    </w:tbl>
    <w:p w14:paraId="69E03EB3">
      <w:pPr>
        <w:spacing w:line="360" w:lineRule="auto"/>
        <w:rPr>
          <w:rFonts w:hint="default" w:ascii="Times New Roman" w:hAnsi="Times New Roman" w:eastAsia="楷体" w:cs="Times New Roman"/>
          <w:spacing w:val="4"/>
          <w:sz w:val="24"/>
          <w:szCs w:val="24"/>
        </w:rPr>
      </w:pPr>
    </w:p>
    <w:p w14:paraId="05B08F6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w:t>
      </w:r>
      <w:r>
        <w:rPr>
          <w:rFonts w:hint="default" w:ascii="Times New Roman" w:hAnsi="Times New Roman" w:eastAsia="仿宋_GB2312" w:cs="Times New Roman"/>
          <w:b/>
          <w:bCs/>
          <w:spacing w:val="2"/>
          <w:sz w:val="32"/>
          <w:szCs w:val="32"/>
        </w:rPr>
        <w:t>标26：存在乱拉空中线路问题的道路数量（条）</w:t>
      </w:r>
    </w:p>
    <w:p w14:paraId="18E063E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7AA31F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按照《城市市容市貌干净整洁有序安全标准（试行）》要求，查找街道上乱拉空中架设缆线、线杆，以及箱体损坏等问题。</w:t>
      </w:r>
    </w:p>
    <w:p w14:paraId="73269A5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6FB3B6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是否存在以下问题</w:t>
      </w:r>
    </w:p>
    <w:p w14:paraId="2DFF24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废弃线缆和立杆。</w:t>
      </w:r>
    </w:p>
    <w:p w14:paraId="328A64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线杆松动、断裂、歪斜等。</w:t>
      </w:r>
    </w:p>
    <w:p w14:paraId="121F70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3</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路名牌、指路牌等立杆油漆剥落、断裂、倾斜、废弃等。</w:t>
      </w:r>
    </w:p>
    <w:p w14:paraId="0A817E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4</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路名牌、指路牌和交通标志牌等文字缺失、表述不规范。</w:t>
      </w:r>
    </w:p>
    <w:p w14:paraId="08C5F6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eastAsia" w:ascii="Times New Roman" w:hAnsi="Times New Roman" w:eastAsia="仿宋_GB2312" w:cs="Times New Roman"/>
          <w:iCs/>
          <w:color w:val="000000"/>
          <w:sz w:val="32"/>
          <w:szCs w:val="32"/>
          <w:lang w:val="en-US" w:eastAsia="zh-CN"/>
        </w:rPr>
        <w:t>5</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乱拉乱设空中电路（电线电缆等）、飞线充电、松散垮落、断股悬垂等现象。</w:t>
      </w:r>
    </w:p>
    <w:p w14:paraId="5053BC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eastAsia" w:ascii="Times New Roman" w:hAnsi="Times New Roman" w:eastAsia="仿宋_GB2312" w:cs="Times New Roman"/>
          <w:iCs/>
          <w:color w:val="000000"/>
          <w:sz w:val="32"/>
          <w:szCs w:val="32"/>
          <w:lang w:val="en-US" w:eastAsia="zh-CN"/>
        </w:rPr>
        <w:t>6</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箱体损坏。</w:t>
      </w:r>
    </w:p>
    <w:p w14:paraId="6F33A1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eastAsia" w:ascii="Times New Roman" w:hAnsi="Times New Roman" w:eastAsia="仿宋_GB2312" w:cs="Times New Roman"/>
          <w:iCs/>
          <w:color w:val="000000"/>
          <w:sz w:val="32"/>
          <w:szCs w:val="32"/>
          <w:lang w:val="en-US" w:eastAsia="zh-CN"/>
        </w:rPr>
        <w:t>7</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其他问题。</w:t>
      </w:r>
    </w:p>
    <w:p w14:paraId="338DE9C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7328DD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调查方法：街道管理员或专业人员现场调研填报及测算评估。</w:t>
      </w:r>
    </w:p>
    <w:p w14:paraId="10F6E2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测算方法：根据《2021年城市干净整洁有序安全部分指标评价细则》确定。</w:t>
      </w:r>
    </w:p>
    <w:p w14:paraId="23E5A4E5">
      <w:pPr>
        <w:pStyle w:val="2"/>
        <w:rPr>
          <w:rFonts w:hint="default" w:ascii="Times New Roman" w:hAnsi="Times New Roman" w:cs="Times New Roman"/>
        </w:rPr>
      </w:pPr>
    </w:p>
    <w:p w14:paraId="5659A17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spacing w:val="-2"/>
          <w:sz w:val="32"/>
          <w:szCs w:val="32"/>
        </w:rPr>
      </w:pPr>
      <w:r>
        <w:rPr>
          <w:rFonts w:hint="default" w:ascii="Times New Roman" w:hAnsi="Times New Roman" w:eastAsia="仿宋_GB2312" w:cs="Times New Roman"/>
          <w:b/>
          <w:bCs/>
          <w:spacing w:val="-4"/>
          <w:sz w:val="32"/>
          <w:szCs w:val="32"/>
        </w:rPr>
        <w:t>表</w:t>
      </w:r>
      <w:r>
        <w:rPr>
          <w:rFonts w:hint="default" w:ascii="Times New Roman" w:hAnsi="Times New Roman" w:eastAsia="仿宋_GB2312" w:cs="Times New Roman"/>
          <w:b/>
          <w:bCs/>
          <w:spacing w:val="-2"/>
          <w:sz w:val="32"/>
          <w:szCs w:val="32"/>
        </w:rPr>
        <w:t>2 存在乱拉乱设立杆、空中线路问题评价内容</w:t>
      </w:r>
    </w:p>
    <w:p w14:paraId="6E911378">
      <w:pPr>
        <w:pStyle w:val="2"/>
        <w:rPr>
          <w:rFonts w:hint="default" w:ascii="Times New Roman" w:hAnsi="Times New Roman" w:cs="Times New Roman"/>
        </w:rPr>
      </w:pPr>
    </w:p>
    <w:tbl>
      <w:tblPr>
        <w:tblStyle w:val="57"/>
        <w:tblW w:w="818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79"/>
        <w:gridCol w:w="6401"/>
      </w:tblGrid>
      <w:tr w14:paraId="6090CF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jc w:val="center"/>
        </w:trPr>
        <w:tc>
          <w:tcPr>
            <w:tcW w:w="8180" w:type="dxa"/>
            <w:gridSpan w:val="2"/>
            <w:tcBorders>
              <w:bottom w:val="single" w:color="auto" w:sz="4" w:space="0"/>
            </w:tcBorders>
            <w:vAlign w:val="center"/>
          </w:tcPr>
          <w:p w14:paraId="0930F4EB">
            <w:pPr>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b/>
                <w:bCs/>
                <w:spacing w:val="-6"/>
                <w:sz w:val="24"/>
                <w:szCs w:val="24"/>
              </w:rPr>
              <w:t>评</w:t>
            </w:r>
            <w:r>
              <w:rPr>
                <w:rFonts w:hint="default" w:ascii="Times New Roman" w:hAnsi="Times New Roman" w:eastAsia="仿宋_GB2312" w:cs="Times New Roman"/>
                <w:b/>
                <w:bCs/>
                <w:spacing w:val="-3"/>
                <w:sz w:val="24"/>
                <w:szCs w:val="24"/>
              </w:rPr>
              <w:t>分细则</w:t>
            </w:r>
          </w:p>
        </w:tc>
      </w:tr>
      <w:tr w14:paraId="47C165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jc w:val="center"/>
        </w:trPr>
        <w:tc>
          <w:tcPr>
            <w:tcW w:w="1779" w:type="dxa"/>
            <w:vMerge w:val="restart"/>
            <w:tcBorders>
              <w:top w:val="single" w:color="auto" w:sz="4" w:space="0"/>
              <w:left w:val="single" w:color="auto" w:sz="4" w:space="0"/>
              <w:bottom w:val="nil"/>
            </w:tcBorders>
            <w:vAlign w:val="center"/>
          </w:tcPr>
          <w:p w14:paraId="4D876057">
            <w:pPr>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6"/>
                <w:sz w:val="24"/>
                <w:szCs w:val="24"/>
              </w:rPr>
              <w:t>立</w:t>
            </w:r>
            <w:r>
              <w:rPr>
                <w:rFonts w:hint="default" w:ascii="Times New Roman" w:hAnsi="Times New Roman" w:eastAsia="仿宋_GB2312" w:cs="Times New Roman"/>
                <w:spacing w:val="-5"/>
                <w:sz w:val="24"/>
                <w:szCs w:val="24"/>
              </w:rPr>
              <w:t>杆</w:t>
            </w:r>
          </w:p>
        </w:tc>
        <w:tc>
          <w:tcPr>
            <w:tcW w:w="6401" w:type="dxa"/>
            <w:tcBorders>
              <w:top w:val="single" w:color="auto" w:sz="4" w:space="0"/>
              <w:right w:val="single" w:color="auto" w:sz="4" w:space="0"/>
            </w:tcBorders>
            <w:vAlign w:val="center"/>
          </w:tcPr>
          <w:p w14:paraId="4EBEDC83">
            <w:pPr>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6"/>
                <w:sz w:val="24"/>
                <w:szCs w:val="24"/>
              </w:rPr>
              <w:t>无</w:t>
            </w:r>
            <w:r>
              <w:rPr>
                <w:rFonts w:hint="default" w:ascii="Times New Roman" w:hAnsi="Times New Roman" w:eastAsia="仿宋_GB2312" w:cs="Times New Roman"/>
                <w:spacing w:val="-5"/>
                <w:sz w:val="24"/>
                <w:szCs w:val="24"/>
              </w:rPr>
              <w:t>废弃线缆和立杆。</w:t>
            </w:r>
          </w:p>
        </w:tc>
      </w:tr>
      <w:tr w14:paraId="0BE1C8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jc w:val="center"/>
        </w:trPr>
        <w:tc>
          <w:tcPr>
            <w:tcW w:w="1779" w:type="dxa"/>
            <w:vMerge w:val="continue"/>
            <w:tcBorders>
              <w:top w:val="nil"/>
              <w:left w:val="single" w:color="auto" w:sz="4" w:space="0"/>
              <w:bottom w:val="nil"/>
            </w:tcBorders>
            <w:vAlign w:val="center"/>
          </w:tcPr>
          <w:p w14:paraId="331F94B2">
            <w:pPr>
              <w:spacing w:line="240" w:lineRule="auto"/>
              <w:jc w:val="center"/>
              <w:rPr>
                <w:rFonts w:hint="default" w:ascii="Times New Roman" w:hAnsi="Times New Roman" w:eastAsia="仿宋_GB2312" w:cs="Times New Roman"/>
                <w:sz w:val="24"/>
                <w:szCs w:val="24"/>
              </w:rPr>
            </w:pPr>
          </w:p>
        </w:tc>
        <w:tc>
          <w:tcPr>
            <w:tcW w:w="6401" w:type="dxa"/>
            <w:tcBorders>
              <w:right w:val="single" w:color="auto" w:sz="4" w:space="0"/>
            </w:tcBorders>
            <w:vAlign w:val="center"/>
          </w:tcPr>
          <w:p w14:paraId="5E253FD0">
            <w:pPr>
              <w:spacing w:line="240" w:lineRule="auto"/>
              <w:jc w:val="center"/>
              <w:rPr>
                <w:rFonts w:hint="default" w:ascii="Times New Roman" w:hAnsi="Times New Roman" w:eastAsia="仿宋_GB2312" w:cs="Times New Roman"/>
                <w:iCs/>
                <w:color w:val="000000"/>
                <w:sz w:val="24"/>
                <w:szCs w:val="24"/>
              </w:rPr>
            </w:pPr>
            <w:r>
              <w:rPr>
                <w:rFonts w:hint="default" w:ascii="Times New Roman" w:hAnsi="Times New Roman" w:eastAsia="仿宋_GB2312" w:cs="Times New Roman"/>
                <w:iCs/>
                <w:color w:val="000000"/>
                <w:sz w:val="24"/>
                <w:szCs w:val="24"/>
              </w:rPr>
              <w:t>线杆无松动、断裂、歪斜等现象。</w:t>
            </w:r>
          </w:p>
        </w:tc>
      </w:tr>
      <w:tr w14:paraId="39324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jc w:val="center"/>
        </w:trPr>
        <w:tc>
          <w:tcPr>
            <w:tcW w:w="1779" w:type="dxa"/>
            <w:vMerge w:val="continue"/>
            <w:tcBorders>
              <w:top w:val="nil"/>
              <w:left w:val="single" w:color="auto" w:sz="4" w:space="0"/>
              <w:bottom w:val="nil"/>
            </w:tcBorders>
            <w:vAlign w:val="center"/>
          </w:tcPr>
          <w:p w14:paraId="2D6B7DC3">
            <w:pPr>
              <w:spacing w:line="240" w:lineRule="auto"/>
              <w:jc w:val="center"/>
              <w:rPr>
                <w:rFonts w:hint="default" w:ascii="Times New Roman" w:hAnsi="Times New Roman" w:eastAsia="仿宋_GB2312" w:cs="Times New Roman"/>
                <w:sz w:val="24"/>
                <w:szCs w:val="24"/>
              </w:rPr>
            </w:pPr>
          </w:p>
        </w:tc>
        <w:tc>
          <w:tcPr>
            <w:tcW w:w="6401" w:type="dxa"/>
            <w:tcBorders>
              <w:right w:val="single" w:color="auto" w:sz="4" w:space="0"/>
            </w:tcBorders>
            <w:vAlign w:val="center"/>
          </w:tcPr>
          <w:p w14:paraId="68EC50FB">
            <w:pPr>
              <w:spacing w:line="240" w:lineRule="auto"/>
              <w:jc w:val="center"/>
              <w:rPr>
                <w:rFonts w:hint="default" w:ascii="Times New Roman" w:hAnsi="Times New Roman" w:eastAsia="仿宋_GB2312" w:cs="Times New Roman"/>
                <w:iCs/>
                <w:color w:val="000000"/>
                <w:sz w:val="24"/>
                <w:szCs w:val="24"/>
              </w:rPr>
            </w:pPr>
            <w:r>
              <w:rPr>
                <w:rFonts w:hint="default" w:ascii="Times New Roman" w:hAnsi="Times New Roman" w:eastAsia="仿宋_GB2312" w:cs="Times New Roman"/>
                <w:iCs/>
                <w:color w:val="000000"/>
                <w:sz w:val="24"/>
                <w:szCs w:val="24"/>
              </w:rPr>
              <w:t>立杆上无乱张贴、乱刻画、乱涂写、乱吊挂等现象。</w:t>
            </w:r>
          </w:p>
        </w:tc>
      </w:tr>
      <w:tr w14:paraId="5FDDC6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jc w:val="center"/>
        </w:trPr>
        <w:tc>
          <w:tcPr>
            <w:tcW w:w="1779" w:type="dxa"/>
            <w:vMerge w:val="continue"/>
            <w:tcBorders>
              <w:top w:val="nil"/>
              <w:left w:val="single" w:color="auto" w:sz="4" w:space="0"/>
              <w:bottom w:val="single" w:color="auto" w:sz="4" w:space="0"/>
            </w:tcBorders>
            <w:vAlign w:val="center"/>
          </w:tcPr>
          <w:p w14:paraId="7D06B656">
            <w:pPr>
              <w:spacing w:line="240" w:lineRule="auto"/>
              <w:jc w:val="center"/>
              <w:rPr>
                <w:rFonts w:hint="default" w:ascii="Times New Roman" w:hAnsi="Times New Roman" w:eastAsia="仿宋_GB2312" w:cs="Times New Roman"/>
                <w:sz w:val="24"/>
                <w:szCs w:val="24"/>
              </w:rPr>
            </w:pPr>
          </w:p>
        </w:tc>
        <w:tc>
          <w:tcPr>
            <w:tcW w:w="6401" w:type="dxa"/>
            <w:tcBorders>
              <w:bottom w:val="single" w:color="auto" w:sz="4" w:space="0"/>
              <w:right w:val="single" w:color="auto" w:sz="4" w:space="0"/>
            </w:tcBorders>
            <w:vAlign w:val="center"/>
          </w:tcPr>
          <w:p w14:paraId="3921A0EB">
            <w:pPr>
              <w:spacing w:line="240" w:lineRule="auto"/>
              <w:jc w:val="center"/>
              <w:rPr>
                <w:rFonts w:hint="default" w:ascii="Times New Roman" w:hAnsi="Times New Roman" w:eastAsia="仿宋_GB2312" w:cs="Times New Roman"/>
                <w:iCs/>
                <w:color w:val="000000"/>
                <w:sz w:val="24"/>
                <w:szCs w:val="24"/>
              </w:rPr>
            </w:pPr>
            <w:r>
              <w:rPr>
                <w:rFonts w:hint="default" w:ascii="Times New Roman" w:hAnsi="Times New Roman" w:eastAsia="仿宋_GB2312" w:cs="Times New Roman"/>
                <w:iCs/>
                <w:color w:val="000000"/>
                <w:sz w:val="24"/>
                <w:szCs w:val="24"/>
              </w:rPr>
              <w:t>路名牌、指路牌等立杆无油漆剥落、断裂、倾斜、废弃等。路名牌、指路牌和交通标志牌等文字完整清晰、表述规范。</w:t>
            </w:r>
          </w:p>
        </w:tc>
      </w:tr>
      <w:tr w14:paraId="06D38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1779" w:type="dxa"/>
            <w:vMerge w:val="restart"/>
            <w:tcBorders>
              <w:top w:val="single" w:color="auto" w:sz="4" w:space="0"/>
            </w:tcBorders>
            <w:vAlign w:val="center"/>
          </w:tcPr>
          <w:p w14:paraId="43217C35">
            <w:pPr>
              <w:spacing w:line="240" w:lineRule="auto"/>
              <w:ind w:firstLine="1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6"/>
                <w:sz w:val="24"/>
                <w:szCs w:val="24"/>
              </w:rPr>
              <w:t>空中线</w:t>
            </w:r>
            <w:r>
              <w:rPr>
                <w:rFonts w:hint="default" w:ascii="Times New Roman" w:hAnsi="Times New Roman" w:eastAsia="仿宋_GB2312" w:cs="Times New Roman"/>
                <w:spacing w:val="51"/>
                <w:sz w:val="24"/>
                <w:szCs w:val="24"/>
              </w:rPr>
              <w:t>路（电</w:t>
            </w:r>
            <w:r>
              <w:rPr>
                <w:rFonts w:hint="default" w:ascii="Times New Roman" w:hAnsi="Times New Roman" w:eastAsia="仿宋_GB2312" w:cs="Times New Roman"/>
                <w:spacing w:val="11"/>
                <w:sz w:val="24"/>
                <w:szCs w:val="24"/>
              </w:rPr>
              <w:t>线电缆</w:t>
            </w:r>
            <w:r>
              <w:rPr>
                <w:rFonts w:hint="default" w:ascii="Times New Roman" w:hAnsi="Times New Roman" w:eastAsia="仿宋_GB2312" w:cs="Times New Roman"/>
                <w:spacing w:val="-14"/>
                <w:sz w:val="24"/>
                <w:szCs w:val="24"/>
              </w:rPr>
              <w:t>等）</w:t>
            </w:r>
          </w:p>
        </w:tc>
        <w:tc>
          <w:tcPr>
            <w:tcW w:w="6401" w:type="dxa"/>
            <w:tcBorders>
              <w:top w:val="single" w:color="auto" w:sz="4" w:space="0"/>
            </w:tcBorders>
            <w:vAlign w:val="center"/>
          </w:tcPr>
          <w:p w14:paraId="161A0FD5">
            <w:pPr>
              <w:spacing w:line="240" w:lineRule="auto"/>
              <w:jc w:val="center"/>
              <w:rPr>
                <w:rFonts w:hint="default" w:ascii="Times New Roman" w:hAnsi="Times New Roman" w:eastAsia="仿宋_GB2312" w:cs="Times New Roman"/>
                <w:iCs/>
                <w:color w:val="000000"/>
                <w:sz w:val="24"/>
                <w:szCs w:val="24"/>
              </w:rPr>
            </w:pPr>
            <w:r>
              <w:rPr>
                <w:rFonts w:hint="default" w:ascii="Times New Roman" w:hAnsi="Times New Roman" w:eastAsia="仿宋_GB2312" w:cs="Times New Roman"/>
                <w:iCs/>
                <w:color w:val="000000"/>
                <w:sz w:val="24"/>
                <w:szCs w:val="24"/>
              </w:rPr>
              <w:t>无乱拉乱设、飞线充电、松散垮落、断股悬垂现象。</w:t>
            </w:r>
          </w:p>
        </w:tc>
      </w:tr>
      <w:tr w14:paraId="404BD4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jc w:val="center"/>
        </w:trPr>
        <w:tc>
          <w:tcPr>
            <w:tcW w:w="1779" w:type="dxa"/>
            <w:vMerge w:val="continue"/>
            <w:vAlign w:val="center"/>
          </w:tcPr>
          <w:p w14:paraId="40FCCCE7">
            <w:pPr>
              <w:spacing w:line="240" w:lineRule="auto"/>
              <w:jc w:val="center"/>
              <w:rPr>
                <w:rFonts w:hint="default" w:ascii="Times New Roman" w:hAnsi="Times New Roman" w:eastAsia="仿宋_GB2312" w:cs="Times New Roman"/>
                <w:sz w:val="24"/>
                <w:szCs w:val="24"/>
              </w:rPr>
            </w:pPr>
          </w:p>
        </w:tc>
        <w:tc>
          <w:tcPr>
            <w:tcW w:w="6401" w:type="dxa"/>
            <w:vAlign w:val="center"/>
          </w:tcPr>
          <w:p w14:paraId="212E679E">
            <w:pPr>
              <w:spacing w:line="240" w:lineRule="auto"/>
              <w:jc w:val="center"/>
              <w:rPr>
                <w:rFonts w:hint="default" w:ascii="Times New Roman" w:hAnsi="Times New Roman" w:eastAsia="仿宋_GB2312" w:cs="Times New Roman"/>
                <w:iCs/>
                <w:color w:val="000000"/>
                <w:sz w:val="24"/>
                <w:szCs w:val="24"/>
              </w:rPr>
            </w:pPr>
            <w:r>
              <w:rPr>
                <w:rFonts w:hint="default" w:ascii="Times New Roman" w:hAnsi="Times New Roman" w:eastAsia="仿宋_GB2312" w:cs="Times New Roman"/>
                <w:iCs/>
                <w:color w:val="000000"/>
                <w:sz w:val="24"/>
                <w:szCs w:val="24"/>
              </w:rPr>
              <w:t>线路上无搭挂物。</w:t>
            </w:r>
          </w:p>
        </w:tc>
      </w:tr>
      <w:tr w14:paraId="7E95FE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jc w:val="center"/>
        </w:trPr>
        <w:tc>
          <w:tcPr>
            <w:tcW w:w="1779" w:type="dxa"/>
            <w:vMerge w:val="continue"/>
            <w:vAlign w:val="center"/>
          </w:tcPr>
          <w:p w14:paraId="54E0B5D6">
            <w:pPr>
              <w:spacing w:line="240" w:lineRule="auto"/>
              <w:jc w:val="center"/>
              <w:rPr>
                <w:rFonts w:hint="default" w:ascii="Times New Roman" w:hAnsi="Times New Roman" w:eastAsia="仿宋_GB2312" w:cs="Times New Roman"/>
                <w:sz w:val="24"/>
                <w:szCs w:val="24"/>
              </w:rPr>
            </w:pPr>
          </w:p>
        </w:tc>
        <w:tc>
          <w:tcPr>
            <w:tcW w:w="6401" w:type="dxa"/>
            <w:vAlign w:val="center"/>
          </w:tcPr>
          <w:p w14:paraId="404AE816">
            <w:pPr>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iCs/>
                <w:color w:val="000000"/>
                <w:sz w:val="24"/>
                <w:szCs w:val="24"/>
              </w:rPr>
              <w:t>交接箱体无缺损、锈蚀、箱门打开；有围栏的箱体，围栏无缺损、锈蚀、围栏门打开现象。</w:t>
            </w:r>
          </w:p>
        </w:tc>
      </w:tr>
    </w:tbl>
    <w:p w14:paraId="45F92030">
      <w:pPr>
        <w:spacing w:line="360" w:lineRule="auto"/>
        <w:rPr>
          <w:rFonts w:hint="default" w:ascii="Times New Roman" w:hAnsi="Times New Roman" w:cs="Times New Roman"/>
          <w:sz w:val="24"/>
          <w:szCs w:val="24"/>
        </w:rPr>
      </w:pPr>
    </w:p>
    <w:p w14:paraId="442985AA">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w:t>
      </w:r>
      <w:r>
        <w:rPr>
          <w:rFonts w:hint="default" w:ascii="Times New Roman" w:hAnsi="Times New Roman" w:eastAsia="仿宋_GB2312" w:cs="Times New Roman"/>
          <w:b/>
          <w:bCs/>
          <w:spacing w:val="3"/>
          <w:sz w:val="32"/>
          <w:szCs w:val="32"/>
        </w:rPr>
        <w:t>标</w:t>
      </w:r>
      <w:r>
        <w:rPr>
          <w:rFonts w:hint="default" w:ascii="Times New Roman" w:hAnsi="Times New Roman" w:eastAsia="仿宋_GB2312" w:cs="Times New Roman"/>
          <w:b/>
          <w:bCs/>
          <w:spacing w:val="2"/>
          <w:sz w:val="32"/>
          <w:szCs w:val="32"/>
        </w:rPr>
        <w:t>27：存在乱停乱放车辆问题的道路数量（条）</w:t>
      </w:r>
    </w:p>
    <w:p w14:paraId="2C5694B4">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795F2CC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按照《城市市容市貌干净整洁有序安全标准（试行）》要求，查找街道上机动车、非机动车无序停放、占用绿化带和人行道的问题。</w:t>
      </w:r>
    </w:p>
    <w:p w14:paraId="4558F52A">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517D868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是否存在：</w:t>
      </w:r>
    </w:p>
    <w:p w14:paraId="459470B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Cs/>
          <w:color w:val="000000"/>
          <w:sz w:val="32"/>
          <w:szCs w:val="32"/>
        </w:rPr>
      </w:pPr>
      <w:r>
        <w:rPr>
          <w:rFonts w:hint="eastAsia" w:ascii="Times New Roman" w:hAnsi="Times New Roman" w:eastAsia="仿宋_GB2312" w:cs="Times New Roman"/>
          <w:iCs/>
          <w:color w:val="000000"/>
          <w:sz w:val="32"/>
          <w:szCs w:val="32"/>
          <w:lang w:val="en-US" w:eastAsia="zh-CN"/>
        </w:rPr>
        <w:t>1</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违停机动车连续超过3辆或非机动车连续超过10辆。</w:t>
      </w:r>
    </w:p>
    <w:p w14:paraId="5228B52B">
      <w:pPr>
        <w:keepNext w:val="0"/>
        <w:keepLines w:val="0"/>
        <w:pageBreakBefore w:val="0"/>
        <w:widowControl w:val="0"/>
        <w:numPr>
          <w:ilvl w:val="255"/>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占用绿化带和人行道。</w:t>
      </w:r>
    </w:p>
    <w:p w14:paraId="1EE1B94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3</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其他问题。</w:t>
      </w:r>
    </w:p>
    <w:p w14:paraId="6880A49B">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7C5B2F8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调查方法：街道管理员或专业人员现场调研填报及测算评估。</w:t>
      </w:r>
    </w:p>
    <w:p w14:paraId="554C35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调查范围：包含市辖区建成区范围内的城市主干道、次干道、支路。</w:t>
      </w:r>
    </w:p>
    <w:p w14:paraId="794118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测算方法：根据《2021年城市干净整洁有序安全部分指标评价细则》确定。</w:t>
      </w:r>
    </w:p>
    <w:p w14:paraId="6D161EA9">
      <w:pPr>
        <w:pStyle w:val="2"/>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_GB2312" w:cs="Times New Roman"/>
          <w:sz w:val="32"/>
          <w:szCs w:val="32"/>
        </w:rPr>
      </w:pPr>
    </w:p>
    <w:p w14:paraId="7890062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w:t>
      </w:r>
      <w:r>
        <w:rPr>
          <w:rFonts w:hint="default" w:ascii="Times New Roman" w:hAnsi="Times New Roman" w:eastAsia="仿宋_GB2312" w:cs="Times New Roman"/>
          <w:b/>
          <w:bCs/>
          <w:spacing w:val="3"/>
          <w:sz w:val="32"/>
          <w:szCs w:val="32"/>
        </w:rPr>
        <w:t>标</w:t>
      </w:r>
      <w:r>
        <w:rPr>
          <w:rFonts w:hint="default" w:ascii="Times New Roman" w:hAnsi="Times New Roman" w:eastAsia="仿宋_GB2312" w:cs="Times New Roman"/>
          <w:b/>
          <w:bCs/>
          <w:spacing w:val="2"/>
          <w:sz w:val="32"/>
          <w:szCs w:val="32"/>
        </w:rPr>
        <w:t>28：窨井盖缺失、移位、损坏的数量（个）</w:t>
      </w:r>
    </w:p>
    <w:p w14:paraId="37DFF4B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559539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按照住房和城乡建设部办公厅等《关于加强窨井盖安全管理的指导意见》，查找窨井盖缺失、移位、损坏等安全隐患问题。</w:t>
      </w:r>
    </w:p>
    <w:p w14:paraId="08E1E53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5011A0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街道管理员或专业人员现场调研填报及测算评估，12345等投诉举报。</w:t>
      </w:r>
    </w:p>
    <w:p w14:paraId="32688854">
      <w:pPr>
        <w:pStyle w:val="2"/>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Times New Roman" w:hAnsi="Times New Roman" w:eastAsia="仿宋_GB2312" w:cs="Times New Roman"/>
          <w:sz w:val="32"/>
          <w:szCs w:val="32"/>
        </w:rPr>
      </w:pPr>
    </w:p>
    <w:p w14:paraId="6658519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w:t>
      </w:r>
      <w:r>
        <w:rPr>
          <w:rFonts w:hint="default" w:ascii="Times New Roman" w:hAnsi="Times New Roman" w:eastAsia="仿宋_GB2312" w:cs="Times New Roman"/>
          <w:b/>
          <w:bCs/>
          <w:spacing w:val="2"/>
          <w:sz w:val="32"/>
          <w:szCs w:val="32"/>
        </w:rPr>
        <w:t>标29：需要更新改造的老旧商业街区数量（个）</w:t>
      </w:r>
    </w:p>
    <w:p w14:paraId="3CCD65A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32963A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查找老旧商业街区在购物、娱乐、旅游、文化等多功能多业态集聚、公共空间塑造、步行环境整治、特色化品牌化服务等方面的问题与短板。</w:t>
      </w:r>
    </w:p>
    <w:p w14:paraId="5365906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393894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需要更新改造的老旧商业街区数量。查找老旧商业街区在购物、娱乐、旅游、文化等多功能多业态集聚、公共空间塑造、步行环境整治、特色化品牌化服务等方面的问题与短板。</w:t>
      </w:r>
    </w:p>
    <w:p w14:paraId="5B32C14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175B35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行业部门填报数据、街道办事处或专业人员现场调研。具体调查细则参考商务部《步行街改造提升评价指标（2019版）》《上海街道设计导则》确定。</w:t>
      </w:r>
    </w:p>
    <w:p w14:paraId="420405F9">
      <w:pPr>
        <w:spacing w:line="360" w:lineRule="auto"/>
        <w:jc w:val="center"/>
        <w:rPr>
          <w:rFonts w:hint="default" w:ascii="Times New Roman" w:hAnsi="Times New Roman" w:eastAsia="仿宋" w:cs="Times New Roman"/>
          <w:b/>
          <w:bCs/>
          <w:spacing w:val="-6"/>
          <w:sz w:val="24"/>
          <w:szCs w:val="24"/>
        </w:rPr>
      </w:pPr>
    </w:p>
    <w:p w14:paraId="4843F4E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b/>
          <w:bCs/>
          <w:iCs/>
          <w:color w:val="000000"/>
          <w:sz w:val="32"/>
          <w:szCs w:val="32"/>
        </w:rPr>
      </w:pPr>
      <w:r>
        <w:rPr>
          <w:rFonts w:hint="default" w:ascii="Times New Roman" w:hAnsi="Times New Roman" w:eastAsia="仿宋_GB2312" w:cs="Times New Roman"/>
          <w:b/>
          <w:bCs/>
          <w:iCs/>
          <w:color w:val="000000"/>
          <w:sz w:val="32"/>
          <w:szCs w:val="32"/>
        </w:rPr>
        <w:t>表3 老旧商业街体检具体内容</w:t>
      </w:r>
    </w:p>
    <w:tbl>
      <w:tblPr>
        <w:tblStyle w:val="57"/>
        <w:tblW w:w="852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93"/>
        <w:gridCol w:w="1746"/>
        <w:gridCol w:w="4889"/>
      </w:tblGrid>
      <w:tr w14:paraId="4C73D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jc w:val="center"/>
        </w:trPr>
        <w:tc>
          <w:tcPr>
            <w:tcW w:w="1893" w:type="dxa"/>
            <w:vAlign w:val="center"/>
          </w:tcPr>
          <w:p w14:paraId="631E84F2">
            <w:pPr>
              <w:spacing w:line="240" w:lineRule="auto"/>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5"/>
                <w:sz w:val="24"/>
                <w:szCs w:val="24"/>
              </w:rPr>
              <w:t>具</w:t>
            </w:r>
            <w:r>
              <w:rPr>
                <w:rFonts w:hint="default" w:ascii="Times New Roman" w:hAnsi="Times New Roman" w:eastAsia="仿宋_GB2312" w:cs="Times New Roman"/>
                <w:b/>
                <w:bCs/>
                <w:spacing w:val="-4"/>
                <w:sz w:val="24"/>
                <w:szCs w:val="24"/>
              </w:rPr>
              <w:t>体内容</w:t>
            </w:r>
          </w:p>
        </w:tc>
        <w:tc>
          <w:tcPr>
            <w:tcW w:w="6635" w:type="dxa"/>
            <w:gridSpan w:val="2"/>
            <w:vAlign w:val="center"/>
          </w:tcPr>
          <w:p w14:paraId="509F10AE">
            <w:pPr>
              <w:spacing w:line="240" w:lineRule="auto"/>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6"/>
                <w:sz w:val="24"/>
                <w:szCs w:val="24"/>
              </w:rPr>
              <w:t>体</w:t>
            </w:r>
            <w:r>
              <w:rPr>
                <w:rFonts w:hint="default" w:ascii="Times New Roman" w:hAnsi="Times New Roman" w:eastAsia="仿宋_GB2312" w:cs="Times New Roman"/>
                <w:b/>
                <w:bCs/>
                <w:spacing w:val="-3"/>
                <w:sz w:val="24"/>
                <w:szCs w:val="24"/>
              </w:rPr>
              <w:t>检细则</w:t>
            </w:r>
          </w:p>
        </w:tc>
      </w:tr>
      <w:tr w14:paraId="3FEEB3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jc w:val="center"/>
        </w:trPr>
        <w:tc>
          <w:tcPr>
            <w:tcW w:w="1893" w:type="dxa"/>
            <w:vMerge w:val="restart"/>
            <w:vAlign w:val="center"/>
          </w:tcPr>
          <w:p w14:paraId="382B4F5F">
            <w:pPr>
              <w:spacing w:line="240" w:lineRule="auto"/>
              <w:ind w:left="0" w:leftChars="0" w:right="0" w:rightChars="0"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建成时间20</w:t>
            </w:r>
            <w:r>
              <w:rPr>
                <w:rFonts w:hint="default" w:ascii="Times New Roman" w:hAnsi="Times New Roman" w:eastAsia="仿宋_GB2312" w:cs="Times New Roman"/>
                <w:spacing w:val="-2"/>
                <w:sz w:val="24"/>
                <w:szCs w:val="24"/>
              </w:rPr>
              <w:t>年</w:t>
            </w:r>
            <w:r>
              <w:rPr>
                <w:rFonts w:hint="default" w:ascii="Times New Roman" w:hAnsi="Times New Roman" w:eastAsia="仿宋_GB2312" w:cs="Times New Roman"/>
                <w:spacing w:val="-4"/>
                <w:sz w:val="24"/>
                <w:szCs w:val="24"/>
              </w:rPr>
              <w:t>以上、面积不小</w:t>
            </w:r>
            <w:r>
              <w:rPr>
                <w:rFonts w:hint="default" w:ascii="Times New Roman" w:hAnsi="Times New Roman" w:eastAsia="仿宋_GB2312" w:cs="Times New Roman"/>
                <w:spacing w:val="-25"/>
                <w:sz w:val="24"/>
                <w:szCs w:val="24"/>
              </w:rPr>
              <w:t>于</w:t>
            </w:r>
            <w:r>
              <w:rPr>
                <w:rFonts w:hint="default" w:ascii="Times New Roman" w:hAnsi="Times New Roman" w:eastAsia="仿宋_GB2312" w:cs="Times New Roman"/>
                <w:spacing w:val="-18"/>
                <w:sz w:val="24"/>
                <w:szCs w:val="24"/>
              </w:rPr>
              <w:t>1平方公里、</w:t>
            </w:r>
            <w:r>
              <w:rPr>
                <w:rFonts w:hint="default" w:ascii="Times New Roman" w:hAnsi="Times New Roman" w:eastAsia="仿宋_GB2312" w:cs="Times New Roman"/>
                <w:spacing w:val="-14"/>
                <w:sz w:val="24"/>
                <w:szCs w:val="24"/>
              </w:rPr>
              <w:t>长度不小于1</w:t>
            </w:r>
            <w:r>
              <w:rPr>
                <w:rFonts w:hint="default" w:ascii="Times New Roman" w:hAnsi="Times New Roman" w:eastAsia="仿宋_GB2312" w:cs="Times New Roman"/>
                <w:spacing w:val="-13"/>
                <w:sz w:val="24"/>
                <w:szCs w:val="24"/>
              </w:rPr>
              <w:t>公</w:t>
            </w:r>
            <w:r>
              <w:rPr>
                <w:rFonts w:hint="default" w:ascii="Times New Roman" w:hAnsi="Times New Roman" w:eastAsia="仿宋_GB2312" w:cs="Times New Roman"/>
                <w:spacing w:val="-23"/>
                <w:sz w:val="24"/>
                <w:szCs w:val="24"/>
              </w:rPr>
              <w:t>里</w:t>
            </w:r>
            <w:r>
              <w:rPr>
                <w:rFonts w:hint="default" w:ascii="Times New Roman" w:hAnsi="Times New Roman" w:eastAsia="仿宋_GB2312" w:cs="Times New Roman"/>
                <w:spacing w:val="-18"/>
                <w:sz w:val="24"/>
                <w:szCs w:val="24"/>
              </w:rPr>
              <w:t>，商业建筑面</w:t>
            </w:r>
            <w:r>
              <w:rPr>
                <w:rFonts w:hint="default" w:ascii="Times New Roman" w:hAnsi="Times New Roman" w:eastAsia="仿宋_GB2312" w:cs="Times New Roman"/>
                <w:spacing w:val="-4"/>
                <w:sz w:val="24"/>
                <w:szCs w:val="24"/>
              </w:rPr>
              <w:t>积不小</w:t>
            </w:r>
            <w:r>
              <w:rPr>
                <w:rFonts w:hint="default" w:ascii="Times New Roman" w:hAnsi="Times New Roman" w:eastAsia="仿宋_GB2312" w:cs="Times New Roman"/>
                <w:spacing w:val="-3"/>
                <w:sz w:val="24"/>
                <w:szCs w:val="24"/>
              </w:rPr>
              <w:t>于</w:t>
            </w:r>
            <w:r>
              <w:rPr>
                <w:rFonts w:hint="default" w:ascii="Times New Roman" w:hAnsi="Times New Roman" w:eastAsia="仿宋_GB2312" w:cs="Times New Roman"/>
                <w:spacing w:val="-2"/>
                <w:sz w:val="24"/>
                <w:szCs w:val="24"/>
              </w:rPr>
              <w:t>20万</w:t>
            </w:r>
            <w:r>
              <w:rPr>
                <w:rFonts w:hint="default" w:ascii="Times New Roman" w:hAnsi="Times New Roman" w:eastAsia="仿宋_GB2312" w:cs="Times New Roman"/>
                <w:spacing w:val="-24"/>
                <w:sz w:val="24"/>
                <w:szCs w:val="24"/>
              </w:rPr>
              <w:t>方的老旧商业</w:t>
            </w:r>
            <w:r>
              <w:rPr>
                <w:rFonts w:hint="default" w:ascii="Times New Roman" w:hAnsi="Times New Roman" w:eastAsia="仿宋_GB2312" w:cs="Times New Roman"/>
                <w:spacing w:val="-9"/>
                <w:sz w:val="24"/>
                <w:szCs w:val="24"/>
              </w:rPr>
              <w:t>街数量。</w:t>
            </w:r>
          </w:p>
        </w:tc>
        <w:tc>
          <w:tcPr>
            <w:tcW w:w="1746" w:type="dxa"/>
            <w:vAlign w:val="center"/>
          </w:tcPr>
          <w:p w14:paraId="4D3791AB">
            <w:pPr>
              <w:spacing w:line="240" w:lineRule="auto"/>
              <w:ind w:left="0" w:leftChars="0" w:right="0" w:rightChars="0"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功能业态</w:t>
            </w:r>
          </w:p>
        </w:tc>
        <w:tc>
          <w:tcPr>
            <w:tcW w:w="4889" w:type="dxa"/>
            <w:vAlign w:val="center"/>
          </w:tcPr>
          <w:p w14:paraId="4B2DB472">
            <w:pPr>
              <w:spacing w:line="240" w:lineRule="auto"/>
              <w:ind w:left="0" w:leftChars="0" w:right="0" w:rightChars="0" w:firstLine="0" w:firstLineChars="0"/>
              <w:jc w:val="center"/>
              <w:rPr>
                <w:rFonts w:hint="default" w:ascii="Times New Roman" w:hAnsi="Times New Roman" w:eastAsia="仿宋_GB2312" w:cs="Times New Roman"/>
                <w:spacing w:val="-14"/>
                <w:sz w:val="24"/>
                <w:szCs w:val="24"/>
              </w:rPr>
            </w:pPr>
            <w:r>
              <w:rPr>
                <w:rFonts w:hint="default" w:ascii="Times New Roman" w:hAnsi="Times New Roman" w:eastAsia="仿宋_GB2312" w:cs="Times New Roman"/>
                <w:spacing w:val="-14"/>
                <w:sz w:val="24"/>
                <w:szCs w:val="24"/>
              </w:rPr>
              <w:t>单一功能业态占比是否超过70%</w:t>
            </w:r>
          </w:p>
          <w:p w14:paraId="2686A188">
            <w:pPr>
              <w:spacing w:line="240" w:lineRule="auto"/>
              <w:ind w:left="0" w:leftChars="0" w:right="0" w:rightChars="0" w:firstLine="0" w:firstLineChars="0"/>
              <w:jc w:val="center"/>
              <w:rPr>
                <w:rFonts w:hint="default" w:ascii="Times New Roman" w:hAnsi="Times New Roman" w:eastAsia="仿宋_GB2312" w:cs="Times New Roman"/>
                <w:spacing w:val="-14"/>
                <w:sz w:val="24"/>
                <w:szCs w:val="24"/>
              </w:rPr>
            </w:pPr>
            <w:r>
              <w:rPr>
                <w:rFonts w:hint="default" w:ascii="Times New Roman" w:hAnsi="Times New Roman" w:eastAsia="仿宋_GB2312" w:cs="Times New Roman"/>
                <w:spacing w:val="-14"/>
                <w:sz w:val="24"/>
                <w:szCs w:val="24"/>
              </w:rPr>
              <w:t>（按门店数或经营面积）。</w:t>
            </w:r>
          </w:p>
        </w:tc>
      </w:tr>
      <w:tr w14:paraId="22B27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jc w:val="center"/>
        </w:trPr>
        <w:tc>
          <w:tcPr>
            <w:tcW w:w="1893" w:type="dxa"/>
            <w:vMerge w:val="continue"/>
            <w:vAlign w:val="center"/>
          </w:tcPr>
          <w:p w14:paraId="72FE0523">
            <w:pPr>
              <w:spacing w:line="240" w:lineRule="auto"/>
              <w:ind w:left="0" w:leftChars="0" w:right="0" w:rightChars="0" w:firstLine="0" w:firstLineChars="0"/>
              <w:jc w:val="center"/>
              <w:rPr>
                <w:rFonts w:hint="default" w:ascii="Times New Roman" w:hAnsi="Times New Roman" w:eastAsia="仿宋_GB2312" w:cs="Times New Roman"/>
                <w:sz w:val="24"/>
                <w:szCs w:val="24"/>
              </w:rPr>
            </w:pPr>
          </w:p>
        </w:tc>
        <w:tc>
          <w:tcPr>
            <w:tcW w:w="1746" w:type="dxa"/>
            <w:vAlign w:val="center"/>
          </w:tcPr>
          <w:p w14:paraId="70C77484">
            <w:pPr>
              <w:spacing w:line="240" w:lineRule="auto"/>
              <w:ind w:left="0" w:leftChars="0" w:right="0" w:rightChars="0"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公共空间</w:t>
            </w:r>
          </w:p>
        </w:tc>
        <w:tc>
          <w:tcPr>
            <w:tcW w:w="4889" w:type="dxa"/>
            <w:vAlign w:val="center"/>
          </w:tcPr>
          <w:p w14:paraId="0E86DB54">
            <w:pPr>
              <w:spacing w:line="240" w:lineRule="auto"/>
              <w:ind w:left="0" w:leftChars="0" w:right="0" w:rightChars="0" w:firstLine="0" w:firstLineChars="0"/>
              <w:jc w:val="center"/>
              <w:rPr>
                <w:rFonts w:hint="default" w:ascii="Times New Roman" w:hAnsi="Times New Roman" w:eastAsia="仿宋_GB2312" w:cs="Times New Roman"/>
                <w:spacing w:val="-14"/>
                <w:sz w:val="24"/>
                <w:szCs w:val="24"/>
              </w:rPr>
            </w:pPr>
            <w:r>
              <w:rPr>
                <w:rFonts w:hint="default" w:ascii="Times New Roman" w:hAnsi="Times New Roman" w:eastAsia="仿宋_GB2312" w:cs="Times New Roman"/>
                <w:spacing w:val="-14"/>
                <w:sz w:val="24"/>
                <w:szCs w:val="24"/>
              </w:rPr>
              <w:t>每50米是否有1处休息空间及设施。</w:t>
            </w:r>
          </w:p>
        </w:tc>
      </w:tr>
      <w:tr w14:paraId="497D24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9" w:hRule="atLeast"/>
          <w:jc w:val="center"/>
        </w:trPr>
        <w:tc>
          <w:tcPr>
            <w:tcW w:w="1893" w:type="dxa"/>
            <w:vMerge w:val="continue"/>
            <w:vAlign w:val="center"/>
          </w:tcPr>
          <w:p w14:paraId="464DAA2E">
            <w:pPr>
              <w:spacing w:line="240" w:lineRule="auto"/>
              <w:ind w:left="0" w:leftChars="0" w:right="0" w:rightChars="0" w:firstLine="0" w:firstLineChars="0"/>
              <w:jc w:val="center"/>
              <w:rPr>
                <w:rFonts w:hint="default" w:ascii="Times New Roman" w:hAnsi="Times New Roman" w:eastAsia="仿宋_GB2312" w:cs="Times New Roman"/>
                <w:sz w:val="24"/>
                <w:szCs w:val="24"/>
              </w:rPr>
            </w:pPr>
          </w:p>
        </w:tc>
        <w:tc>
          <w:tcPr>
            <w:tcW w:w="1746" w:type="dxa"/>
            <w:vAlign w:val="center"/>
          </w:tcPr>
          <w:p w14:paraId="345B8A88">
            <w:pPr>
              <w:spacing w:line="240" w:lineRule="auto"/>
              <w:ind w:left="0" w:leftChars="0" w:right="0" w:rightChars="0" w:firstLine="0" w:firstLineChars="0"/>
              <w:jc w:val="center"/>
              <w:rPr>
                <w:rFonts w:hint="default" w:ascii="Times New Roman" w:hAnsi="Times New Roman" w:eastAsia="仿宋_GB2312" w:cs="Times New Roman"/>
                <w:spacing w:val="-4"/>
                <w:sz w:val="24"/>
                <w:szCs w:val="24"/>
              </w:rPr>
            </w:pPr>
            <w:r>
              <w:rPr>
                <w:rFonts w:hint="default" w:ascii="Times New Roman" w:hAnsi="Times New Roman" w:eastAsia="仿宋_GB2312" w:cs="Times New Roman"/>
                <w:spacing w:val="-4"/>
                <w:sz w:val="24"/>
                <w:szCs w:val="24"/>
              </w:rPr>
              <w:t>步行环境</w:t>
            </w:r>
          </w:p>
        </w:tc>
        <w:tc>
          <w:tcPr>
            <w:tcW w:w="4889" w:type="dxa"/>
            <w:vAlign w:val="center"/>
          </w:tcPr>
          <w:p w14:paraId="70157966">
            <w:pPr>
              <w:spacing w:line="240" w:lineRule="auto"/>
              <w:ind w:left="0" w:leftChars="0" w:right="0" w:rightChars="0" w:firstLine="0" w:firstLineChars="0"/>
              <w:jc w:val="both"/>
              <w:rPr>
                <w:rFonts w:hint="default" w:ascii="Times New Roman" w:hAnsi="Times New Roman" w:eastAsia="仿宋_GB2312" w:cs="Times New Roman"/>
                <w:spacing w:val="-4"/>
                <w:sz w:val="24"/>
                <w:szCs w:val="24"/>
              </w:rPr>
            </w:pPr>
            <w:r>
              <w:rPr>
                <w:rFonts w:hint="default" w:ascii="Times New Roman" w:hAnsi="Times New Roman" w:eastAsia="仿宋_GB2312" w:cs="Times New Roman"/>
                <w:spacing w:val="-4"/>
                <w:sz w:val="24"/>
                <w:szCs w:val="24"/>
              </w:rPr>
              <w:t>有效宽度（不窄于1.5米）的步行道长度。</w:t>
            </w:r>
          </w:p>
        </w:tc>
      </w:tr>
      <w:tr w14:paraId="23F29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1893" w:type="dxa"/>
            <w:vMerge w:val="continue"/>
            <w:vAlign w:val="center"/>
          </w:tcPr>
          <w:p w14:paraId="23B2D1C7">
            <w:pPr>
              <w:spacing w:line="240" w:lineRule="auto"/>
              <w:ind w:left="0" w:leftChars="0" w:right="0" w:rightChars="0" w:firstLine="0" w:firstLineChars="0"/>
              <w:jc w:val="center"/>
              <w:rPr>
                <w:rFonts w:hint="default" w:ascii="Times New Roman" w:hAnsi="Times New Roman" w:eastAsia="仿宋_GB2312" w:cs="Times New Roman"/>
                <w:sz w:val="24"/>
                <w:szCs w:val="24"/>
              </w:rPr>
            </w:pPr>
          </w:p>
        </w:tc>
        <w:tc>
          <w:tcPr>
            <w:tcW w:w="1746" w:type="dxa"/>
            <w:vAlign w:val="center"/>
          </w:tcPr>
          <w:p w14:paraId="1C2CF28F">
            <w:pPr>
              <w:spacing w:line="240" w:lineRule="auto"/>
              <w:ind w:left="0" w:leftChars="0" w:right="0" w:rightChars="0" w:firstLine="0" w:firstLineChars="0"/>
              <w:jc w:val="center"/>
              <w:rPr>
                <w:rFonts w:hint="default" w:ascii="Times New Roman" w:hAnsi="Times New Roman" w:eastAsia="仿宋_GB2312" w:cs="Times New Roman"/>
                <w:spacing w:val="-4"/>
                <w:sz w:val="24"/>
                <w:szCs w:val="24"/>
              </w:rPr>
            </w:pPr>
            <w:r>
              <w:rPr>
                <w:rFonts w:hint="default" w:ascii="Times New Roman" w:hAnsi="Times New Roman" w:eastAsia="仿宋_GB2312" w:cs="Times New Roman"/>
                <w:spacing w:val="-4"/>
                <w:sz w:val="24"/>
                <w:szCs w:val="24"/>
              </w:rPr>
              <w:t>特色化品牌化</w:t>
            </w:r>
          </w:p>
        </w:tc>
        <w:tc>
          <w:tcPr>
            <w:tcW w:w="4889" w:type="dxa"/>
            <w:vAlign w:val="center"/>
          </w:tcPr>
          <w:p w14:paraId="26AD239B">
            <w:pPr>
              <w:spacing w:line="240" w:lineRule="auto"/>
              <w:ind w:left="0" w:leftChars="0" w:right="0" w:rightChars="0" w:firstLine="0" w:firstLineChars="0"/>
              <w:jc w:val="center"/>
              <w:rPr>
                <w:rFonts w:hint="default" w:ascii="Times New Roman" w:hAnsi="Times New Roman" w:eastAsia="仿宋_GB2312" w:cs="Times New Roman"/>
                <w:spacing w:val="-4"/>
                <w:sz w:val="24"/>
                <w:szCs w:val="24"/>
              </w:rPr>
            </w:pPr>
            <w:r>
              <w:rPr>
                <w:rFonts w:hint="default" w:ascii="Times New Roman" w:hAnsi="Times New Roman" w:eastAsia="仿宋_GB2312" w:cs="Times New Roman"/>
                <w:spacing w:val="-4"/>
                <w:sz w:val="24"/>
                <w:szCs w:val="24"/>
              </w:rPr>
              <w:t>是否有塑造历史记忆、民族特色和文化传承</w:t>
            </w:r>
          </w:p>
          <w:p w14:paraId="4C17AD6B">
            <w:pPr>
              <w:spacing w:line="240" w:lineRule="auto"/>
              <w:ind w:left="0" w:leftChars="0" w:right="0" w:rightChars="0" w:firstLine="0" w:firstLineChars="0"/>
              <w:jc w:val="center"/>
              <w:rPr>
                <w:rFonts w:hint="default" w:ascii="Times New Roman" w:hAnsi="Times New Roman" w:eastAsia="仿宋_GB2312" w:cs="Times New Roman"/>
                <w:spacing w:val="-4"/>
                <w:sz w:val="24"/>
                <w:szCs w:val="24"/>
              </w:rPr>
            </w:pPr>
            <w:r>
              <w:rPr>
                <w:rFonts w:hint="default" w:ascii="Times New Roman" w:hAnsi="Times New Roman" w:eastAsia="仿宋_GB2312" w:cs="Times New Roman"/>
                <w:spacing w:val="-4"/>
                <w:sz w:val="24"/>
                <w:szCs w:val="24"/>
              </w:rPr>
              <w:t>的景观或设施。</w:t>
            </w:r>
          </w:p>
        </w:tc>
      </w:tr>
    </w:tbl>
    <w:p w14:paraId="732383B9">
      <w:pPr>
        <w:spacing w:line="360" w:lineRule="auto"/>
        <w:rPr>
          <w:rFonts w:hint="default" w:ascii="Times New Roman" w:hAnsi="Times New Roman" w:cs="Times New Roman"/>
          <w:sz w:val="24"/>
          <w:szCs w:val="24"/>
        </w:rPr>
      </w:pPr>
    </w:p>
    <w:p w14:paraId="2E2BCED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6"/>
          <w:sz w:val="32"/>
          <w:szCs w:val="32"/>
        </w:rPr>
        <w:t>指标</w:t>
      </w:r>
      <w:r>
        <w:rPr>
          <w:rFonts w:hint="default" w:ascii="Times New Roman" w:hAnsi="Times New Roman" w:eastAsia="仿宋_GB2312" w:cs="Times New Roman"/>
          <w:b/>
          <w:bCs/>
          <w:spacing w:val="3"/>
          <w:sz w:val="32"/>
          <w:szCs w:val="32"/>
        </w:rPr>
        <w:t>30：需要更新改造的老旧厂区数量（个）</w:t>
      </w:r>
    </w:p>
    <w:p w14:paraId="2653A02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031F7C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查找老旧厂区在闲置资源盘活利用、新业态新功能植入、产业转型升级以及专业化运营管理等方面存在的问题和短板。</w:t>
      </w:r>
    </w:p>
    <w:p w14:paraId="134419E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3C4782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需要进行更新改造的老旧厂区数量。查找老旧厂区的闲置资源盘活利用、文化创意等新功能植入、产业转型升级以及专业化运营管理等方面的问题和短板。</w:t>
      </w:r>
    </w:p>
    <w:p w14:paraId="4A1C927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0A2192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行业部门填报数据、街道办事处或专业人员现场调研。具体调查细则根据各省（区、市）低效工业用地认定标准、中国工程建设标准化协会标准《既有城市工业区功能提升与改造后评估标准》（征求意见稿）、中国城市规划学会团体标准《城镇更新区划定技术导则》</w:t>
      </w:r>
      <w:r>
        <w:rPr>
          <w:rFonts w:hint="eastAsia" w:ascii="Times New Roman" w:hAnsi="Times New Roman" w:eastAsia="仿宋_GB2312" w:cs="Times New Roman"/>
          <w:iCs/>
          <w:color w:val="000000"/>
          <w:sz w:val="32"/>
          <w:szCs w:val="32"/>
          <w:lang w:eastAsia="zh-CN"/>
        </w:rPr>
        <w:t>等</w:t>
      </w:r>
      <w:r>
        <w:rPr>
          <w:rFonts w:hint="default" w:ascii="Times New Roman" w:hAnsi="Times New Roman" w:eastAsia="仿宋_GB2312" w:cs="Times New Roman"/>
          <w:iCs/>
          <w:color w:val="000000"/>
          <w:sz w:val="32"/>
          <w:szCs w:val="32"/>
        </w:rPr>
        <w:t>确定。</w:t>
      </w:r>
    </w:p>
    <w:p w14:paraId="7F4AE7DB">
      <w:pPr>
        <w:pStyle w:val="2"/>
        <w:rPr>
          <w:rFonts w:hint="default"/>
        </w:rPr>
      </w:pPr>
    </w:p>
    <w:p w14:paraId="5A2C031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表4 老旧厂区体检具体内</w:t>
      </w:r>
      <w:r>
        <w:rPr>
          <w:rFonts w:hint="default" w:ascii="Times New Roman" w:hAnsi="Times New Roman" w:eastAsia="仿宋_GB2312" w:cs="Times New Roman"/>
          <w:b/>
          <w:bCs/>
          <w:spacing w:val="-3"/>
          <w:sz w:val="32"/>
          <w:szCs w:val="32"/>
        </w:rPr>
        <w:t>容</w:t>
      </w:r>
    </w:p>
    <w:tbl>
      <w:tblPr>
        <w:tblStyle w:val="57"/>
        <w:tblW w:w="835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0"/>
        <w:gridCol w:w="1282"/>
        <w:gridCol w:w="5507"/>
      </w:tblGrid>
      <w:tr w14:paraId="1FC1C6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jc w:val="center"/>
        </w:trPr>
        <w:tc>
          <w:tcPr>
            <w:tcW w:w="1570" w:type="dxa"/>
            <w:vAlign w:val="center"/>
          </w:tcPr>
          <w:p w14:paraId="1B98AA1E">
            <w:pPr>
              <w:spacing w:line="240" w:lineRule="auto"/>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5"/>
                <w:sz w:val="24"/>
                <w:szCs w:val="24"/>
              </w:rPr>
              <w:t>具</w:t>
            </w:r>
            <w:r>
              <w:rPr>
                <w:rFonts w:hint="default" w:ascii="Times New Roman" w:hAnsi="Times New Roman" w:eastAsia="仿宋_GB2312" w:cs="Times New Roman"/>
                <w:b/>
                <w:bCs/>
                <w:spacing w:val="-4"/>
                <w:sz w:val="24"/>
                <w:szCs w:val="24"/>
              </w:rPr>
              <w:t>体内容</w:t>
            </w:r>
          </w:p>
        </w:tc>
        <w:tc>
          <w:tcPr>
            <w:tcW w:w="6789" w:type="dxa"/>
            <w:gridSpan w:val="2"/>
            <w:vAlign w:val="center"/>
          </w:tcPr>
          <w:p w14:paraId="142A1CE2">
            <w:pPr>
              <w:spacing w:line="240" w:lineRule="auto"/>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6"/>
                <w:sz w:val="24"/>
                <w:szCs w:val="24"/>
              </w:rPr>
              <w:t>体</w:t>
            </w:r>
            <w:r>
              <w:rPr>
                <w:rFonts w:hint="default" w:ascii="Times New Roman" w:hAnsi="Times New Roman" w:eastAsia="仿宋_GB2312" w:cs="Times New Roman"/>
                <w:b/>
                <w:bCs/>
                <w:spacing w:val="-3"/>
                <w:sz w:val="24"/>
                <w:szCs w:val="24"/>
              </w:rPr>
              <w:t>检细则</w:t>
            </w:r>
          </w:p>
        </w:tc>
      </w:tr>
      <w:tr w14:paraId="2BE30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jc w:val="center"/>
        </w:trPr>
        <w:tc>
          <w:tcPr>
            <w:tcW w:w="1570" w:type="dxa"/>
            <w:vMerge w:val="restart"/>
            <w:vAlign w:val="center"/>
          </w:tcPr>
          <w:p w14:paraId="3A155359">
            <w:pPr>
              <w:spacing w:line="240" w:lineRule="auto"/>
              <w:ind w:left="0" w:leftChars="0" w:right="0" w:rightChars="0"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34"/>
                <w:sz w:val="24"/>
                <w:szCs w:val="24"/>
              </w:rPr>
              <w:t>建</w:t>
            </w:r>
            <w:r>
              <w:rPr>
                <w:rFonts w:hint="default" w:ascii="Times New Roman" w:hAnsi="Times New Roman" w:eastAsia="仿宋_GB2312" w:cs="Times New Roman"/>
                <w:spacing w:val="33"/>
                <w:sz w:val="24"/>
                <w:szCs w:val="24"/>
              </w:rPr>
              <w:t>成年代较</w:t>
            </w:r>
            <w:r>
              <w:rPr>
                <w:rFonts w:hint="default" w:ascii="Times New Roman" w:hAnsi="Times New Roman" w:eastAsia="仿宋_GB2312" w:cs="Times New Roman"/>
                <w:spacing w:val="-13"/>
                <w:sz w:val="24"/>
                <w:szCs w:val="24"/>
              </w:rPr>
              <w:t>早、设施落后</w:t>
            </w:r>
            <w:r>
              <w:rPr>
                <w:rFonts w:hint="default" w:ascii="Times New Roman" w:hAnsi="Times New Roman" w:eastAsia="仿宋_GB2312" w:cs="Times New Roman"/>
                <w:spacing w:val="33"/>
                <w:sz w:val="24"/>
                <w:szCs w:val="24"/>
              </w:rPr>
              <w:t>的工业与</w:t>
            </w:r>
            <w:r>
              <w:rPr>
                <w:rFonts w:hint="default" w:ascii="Times New Roman" w:hAnsi="Times New Roman" w:eastAsia="仿宋_GB2312" w:cs="Times New Roman"/>
                <w:spacing w:val="32"/>
                <w:sz w:val="24"/>
                <w:szCs w:val="24"/>
              </w:rPr>
              <w:t>仓</w:t>
            </w:r>
            <w:r>
              <w:rPr>
                <w:rFonts w:hint="default" w:ascii="Times New Roman" w:hAnsi="Times New Roman" w:eastAsia="仿宋_GB2312" w:cs="Times New Roman"/>
                <w:spacing w:val="-11"/>
                <w:sz w:val="24"/>
                <w:szCs w:val="24"/>
              </w:rPr>
              <w:t>储</w:t>
            </w:r>
            <w:r>
              <w:rPr>
                <w:rFonts w:hint="default" w:ascii="Times New Roman" w:hAnsi="Times New Roman" w:eastAsia="仿宋_GB2312" w:cs="Times New Roman"/>
                <w:spacing w:val="-6"/>
                <w:sz w:val="24"/>
                <w:szCs w:val="24"/>
              </w:rPr>
              <w:t>物流用地。</w:t>
            </w:r>
          </w:p>
        </w:tc>
        <w:tc>
          <w:tcPr>
            <w:tcW w:w="1282" w:type="dxa"/>
            <w:vMerge w:val="restart"/>
            <w:tcBorders>
              <w:bottom w:val="nil"/>
            </w:tcBorders>
            <w:vAlign w:val="center"/>
          </w:tcPr>
          <w:p w14:paraId="041B78CD">
            <w:pPr>
              <w:spacing w:line="240" w:lineRule="auto"/>
              <w:ind w:left="0" w:leftChars="0" w:right="0" w:rightChars="0"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9"/>
                <w:sz w:val="24"/>
                <w:szCs w:val="24"/>
              </w:rPr>
              <w:t>闲</w:t>
            </w:r>
            <w:r>
              <w:rPr>
                <w:rFonts w:hint="default" w:ascii="Times New Roman" w:hAnsi="Times New Roman" w:eastAsia="仿宋_GB2312" w:cs="Times New Roman"/>
                <w:spacing w:val="-7"/>
                <w:sz w:val="24"/>
                <w:szCs w:val="24"/>
              </w:rPr>
              <w:t>置资源</w:t>
            </w:r>
          </w:p>
        </w:tc>
        <w:tc>
          <w:tcPr>
            <w:tcW w:w="5507" w:type="dxa"/>
            <w:vAlign w:val="center"/>
          </w:tcPr>
          <w:p w14:paraId="11581F43">
            <w:pPr>
              <w:spacing w:line="240" w:lineRule="auto"/>
              <w:ind w:left="0" w:leftChars="0" w:right="0" w:rightChars="0"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工业仓储用地单位产出情况</w:t>
            </w:r>
            <w:r>
              <w:rPr>
                <w:rFonts w:hint="default" w:ascii="Times New Roman" w:hAnsi="Times New Roman" w:eastAsia="仿宋_GB2312" w:cs="Times New Roman"/>
                <w:spacing w:val="-2"/>
                <w:sz w:val="24"/>
                <w:szCs w:val="24"/>
              </w:rPr>
              <w:t>。</w:t>
            </w:r>
          </w:p>
        </w:tc>
      </w:tr>
      <w:tr w14:paraId="0C4F7F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1570" w:type="dxa"/>
            <w:vMerge w:val="continue"/>
            <w:vAlign w:val="center"/>
          </w:tcPr>
          <w:p w14:paraId="1922B119">
            <w:pPr>
              <w:spacing w:line="240" w:lineRule="auto"/>
              <w:ind w:left="0" w:leftChars="0" w:right="0" w:rightChars="0" w:firstLine="0" w:firstLineChars="0"/>
              <w:jc w:val="center"/>
              <w:rPr>
                <w:rFonts w:hint="default" w:ascii="Times New Roman" w:hAnsi="Times New Roman" w:eastAsia="仿宋_GB2312" w:cs="Times New Roman"/>
                <w:sz w:val="24"/>
                <w:szCs w:val="24"/>
              </w:rPr>
            </w:pPr>
          </w:p>
        </w:tc>
        <w:tc>
          <w:tcPr>
            <w:tcW w:w="1282" w:type="dxa"/>
            <w:vMerge w:val="continue"/>
            <w:tcBorders>
              <w:top w:val="nil"/>
            </w:tcBorders>
            <w:vAlign w:val="center"/>
          </w:tcPr>
          <w:p w14:paraId="6D872E88">
            <w:pPr>
              <w:spacing w:line="240" w:lineRule="auto"/>
              <w:ind w:left="0" w:leftChars="0" w:right="0" w:rightChars="0" w:firstLine="0" w:firstLineChars="0"/>
              <w:jc w:val="center"/>
              <w:rPr>
                <w:rFonts w:hint="default" w:ascii="Times New Roman" w:hAnsi="Times New Roman" w:eastAsia="仿宋_GB2312" w:cs="Times New Roman"/>
                <w:sz w:val="24"/>
                <w:szCs w:val="24"/>
              </w:rPr>
            </w:pPr>
          </w:p>
        </w:tc>
        <w:tc>
          <w:tcPr>
            <w:tcW w:w="5507" w:type="dxa"/>
            <w:vAlign w:val="center"/>
          </w:tcPr>
          <w:p w14:paraId="0A52A4A1">
            <w:pPr>
              <w:spacing w:line="240" w:lineRule="auto"/>
              <w:ind w:left="0" w:leftChars="0" w:right="0" w:rightChars="0"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工业仓储单位面积用地生产能耗情况。</w:t>
            </w:r>
          </w:p>
        </w:tc>
      </w:tr>
      <w:tr w14:paraId="29D783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jc w:val="center"/>
        </w:trPr>
        <w:tc>
          <w:tcPr>
            <w:tcW w:w="1570" w:type="dxa"/>
            <w:vMerge w:val="continue"/>
            <w:vAlign w:val="center"/>
          </w:tcPr>
          <w:p w14:paraId="5C383C7A">
            <w:pPr>
              <w:spacing w:line="240" w:lineRule="auto"/>
              <w:ind w:left="0" w:leftChars="0" w:right="0" w:rightChars="0" w:firstLine="0" w:firstLineChars="0"/>
              <w:jc w:val="center"/>
              <w:rPr>
                <w:rFonts w:hint="default" w:ascii="Times New Roman" w:hAnsi="Times New Roman" w:eastAsia="仿宋_GB2312" w:cs="Times New Roman"/>
                <w:sz w:val="24"/>
                <w:szCs w:val="24"/>
              </w:rPr>
            </w:pPr>
          </w:p>
        </w:tc>
        <w:tc>
          <w:tcPr>
            <w:tcW w:w="1282" w:type="dxa"/>
            <w:vAlign w:val="center"/>
          </w:tcPr>
          <w:p w14:paraId="2362C490">
            <w:pPr>
              <w:spacing w:line="240" w:lineRule="auto"/>
              <w:ind w:left="0" w:leftChars="0" w:right="0" w:rightChars="0"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功能业态</w:t>
            </w:r>
          </w:p>
        </w:tc>
        <w:tc>
          <w:tcPr>
            <w:tcW w:w="5507" w:type="dxa"/>
            <w:vAlign w:val="center"/>
          </w:tcPr>
          <w:p w14:paraId="22B70772">
            <w:pPr>
              <w:spacing w:line="240" w:lineRule="auto"/>
              <w:ind w:left="0" w:leftChars="0" w:right="0" w:rightChars="0"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8"/>
                <w:sz w:val="24"/>
                <w:szCs w:val="24"/>
              </w:rPr>
              <w:t>产</w:t>
            </w:r>
            <w:r>
              <w:rPr>
                <w:rFonts w:hint="default" w:ascii="Times New Roman" w:hAnsi="Times New Roman" w:eastAsia="仿宋_GB2312" w:cs="Times New Roman"/>
                <w:spacing w:val="6"/>
                <w:sz w:val="24"/>
                <w:szCs w:val="24"/>
              </w:rPr>
              <w:t>业</w:t>
            </w:r>
            <w:r>
              <w:rPr>
                <w:rFonts w:hint="default" w:ascii="Times New Roman" w:hAnsi="Times New Roman" w:eastAsia="仿宋_GB2312" w:cs="Times New Roman"/>
                <w:spacing w:val="4"/>
                <w:sz w:val="24"/>
                <w:szCs w:val="24"/>
              </w:rPr>
              <w:t>业态为国家产业政策规定的禁止类、淘汰类产</w:t>
            </w:r>
            <w:r>
              <w:rPr>
                <w:rFonts w:hint="default" w:ascii="Times New Roman" w:hAnsi="Times New Roman" w:eastAsia="仿宋_GB2312" w:cs="Times New Roman"/>
                <w:spacing w:val="-4"/>
                <w:sz w:val="24"/>
                <w:szCs w:val="24"/>
              </w:rPr>
              <w:t>业，或与所</w:t>
            </w:r>
            <w:r>
              <w:rPr>
                <w:rFonts w:hint="default" w:ascii="Times New Roman" w:hAnsi="Times New Roman" w:eastAsia="仿宋_GB2312" w:cs="Times New Roman"/>
                <w:spacing w:val="-2"/>
                <w:sz w:val="24"/>
                <w:szCs w:val="24"/>
              </w:rPr>
              <w:t>在片区产业规划导向不符的。</w:t>
            </w:r>
          </w:p>
        </w:tc>
      </w:tr>
      <w:tr w14:paraId="430AE6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1570" w:type="dxa"/>
            <w:vMerge w:val="continue"/>
            <w:vAlign w:val="center"/>
          </w:tcPr>
          <w:p w14:paraId="2A996C85">
            <w:pPr>
              <w:spacing w:line="240" w:lineRule="auto"/>
              <w:ind w:left="0" w:leftChars="0" w:right="0" w:rightChars="0" w:firstLine="0" w:firstLineChars="0"/>
              <w:jc w:val="center"/>
              <w:rPr>
                <w:rFonts w:hint="default" w:ascii="Times New Roman" w:hAnsi="Times New Roman" w:eastAsia="仿宋_GB2312" w:cs="Times New Roman"/>
                <w:sz w:val="24"/>
                <w:szCs w:val="24"/>
              </w:rPr>
            </w:pPr>
          </w:p>
        </w:tc>
        <w:tc>
          <w:tcPr>
            <w:tcW w:w="1282" w:type="dxa"/>
            <w:vAlign w:val="center"/>
          </w:tcPr>
          <w:p w14:paraId="4BDD1ED6">
            <w:pPr>
              <w:spacing w:line="240" w:lineRule="auto"/>
              <w:ind w:left="0" w:leftChars="0" w:right="0" w:rightChars="0"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5"/>
                <w:sz w:val="24"/>
                <w:szCs w:val="24"/>
              </w:rPr>
              <w:t>运</w:t>
            </w:r>
            <w:r>
              <w:rPr>
                <w:rFonts w:hint="default" w:ascii="Times New Roman" w:hAnsi="Times New Roman" w:eastAsia="仿宋_GB2312" w:cs="Times New Roman"/>
                <w:spacing w:val="-3"/>
                <w:sz w:val="24"/>
                <w:szCs w:val="24"/>
              </w:rPr>
              <w:t>营管理</w:t>
            </w:r>
          </w:p>
        </w:tc>
        <w:tc>
          <w:tcPr>
            <w:tcW w:w="5507" w:type="dxa"/>
            <w:vAlign w:val="center"/>
          </w:tcPr>
          <w:p w14:paraId="0542E74D">
            <w:pPr>
              <w:spacing w:line="240" w:lineRule="auto"/>
              <w:ind w:left="0" w:leftChars="0" w:right="0" w:rightChars="0"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6"/>
                <w:sz w:val="24"/>
                <w:szCs w:val="24"/>
              </w:rPr>
              <w:t>是</w:t>
            </w:r>
            <w:r>
              <w:rPr>
                <w:rFonts w:hint="default" w:ascii="Times New Roman" w:hAnsi="Times New Roman" w:eastAsia="仿宋_GB2312" w:cs="Times New Roman"/>
                <w:spacing w:val="-4"/>
                <w:sz w:val="24"/>
                <w:szCs w:val="24"/>
              </w:rPr>
              <w:t>否</w:t>
            </w:r>
            <w:r>
              <w:rPr>
                <w:rFonts w:hint="default" w:ascii="Times New Roman" w:hAnsi="Times New Roman" w:eastAsia="仿宋_GB2312" w:cs="Times New Roman"/>
                <w:spacing w:val="-3"/>
                <w:sz w:val="24"/>
                <w:szCs w:val="24"/>
              </w:rPr>
              <w:t>具有专业的运营管理团队。</w:t>
            </w:r>
          </w:p>
        </w:tc>
      </w:tr>
    </w:tbl>
    <w:p w14:paraId="7938181D">
      <w:pPr>
        <w:spacing w:line="360" w:lineRule="auto"/>
        <w:rPr>
          <w:rFonts w:hint="default" w:ascii="Times New Roman" w:hAnsi="Times New Roman" w:cs="Times New Roman"/>
          <w:sz w:val="24"/>
          <w:szCs w:val="24"/>
        </w:rPr>
      </w:pPr>
    </w:p>
    <w:p w14:paraId="0FBEC0F0">
      <w:pPr>
        <w:spacing w:line="360" w:lineRule="auto"/>
        <w:rPr>
          <w:rFonts w:hint="default" w:ascii="Times New Roman" w:hAnsi="Times New Roman" w:eastAsia="仿宋_GB2312" w:cs="Times New Roman"/>
          <w:b/>
          <w:bCs/>
          <w:spacing w:val="6"/>
          <w:sz w:val="32"/>
          <w:szCs w:val="32"/>
        </w:rPr>
      </w:pPr>
    </w:p>
    <w:p w14:paraId="63027E2C">
      <w:pPr>
        <w:spacing w:line="360" w:lineRule="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6"/>
          <w:sz w:val="32"/>
          <w:szCs w:val="32"/>
        </w:rPr>
        <w:t>指标</w:t>
      </w:r>
      <w:r>
        <w:rPr>
          <w:rFonts w:hint="default" w:ascii="Times New Roman" w:hAnsi="Times New Roman" w:eastAsia="仿宋_GB2312" w:cs="Times New Roman"/>
          <w:b/>
          <w:bCs/>
          <w:spacing w:val="3"/>
          <w:sz w:val="32"/>
          <w:szCs w:val="32"/>
        </w:rPr>
        <w:t>31：需要更新改造的老旧街区数量（个）</w:t>
      </w:r>
    </w:p>
    <w:p w14:paraId="3C9052AA">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【体检内容】</w:t>
      </w:r>
    </w:p>
    <w:p w14:paraId="0101361C">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查找老旧街区在既有建筑保留利用、城市客厅等服务设施配置、基础设施更新改造以及功能转换、活力提升等方面存在的问题和短板。</w:t>
      </w:r>
    </w:p>
    <w:p w14:paraId="56A28B07">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19F98D11">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需要进行更新改造的老旧街区数量。查找老旧街区的既有建筑保留利用、城市客厅等服务设施配置、基础设施更新改造以及功能转换、活力提升等方面的问题和短板。</w:t>
      </w:r>
    </w:p>
    <w:p w14:paraId="3B0F3157">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254ECDBC">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行业部门填报数据、街道办事处或专业人员现场调研。根据各省（区、市）老旧街区改造管理办法确定。</w:t>
      </w:r>
    </w:p>
    <w:p w14:paraId="2A8D650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表5 老旧街区体检具体内</w:t>
      </w:r>
      <w:r>
        <w:rPr>
          <w:rFonts w:hint="default" w:ascii="Times New Roman" w:hAnsi="Times New Roman" w:eastAsia="仿宋_GB2312" w:cs="Times New Roman"/>
          <w:b/>
          <w:bCs/>
          <w:spacing w:val="-3"/>
          <w:sz w:val="32"/>
          <w:szCs w:val="32"/>
        </w:rPr>
        <w:t>容</w:t>
      </w:r>
    </w:p>
    <w:tbl>
      <w:tblPr>
        <w:tblStyle w:val="57"/>
        <w:tblW w:w="852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49"/>
        <w:gridCol w:w="1307"/>
        <w:gridCol w:w="3872"/>
      </w:tblGrid>
      <w:tr w14:paraId="61B057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jc w:val="center"/>
        </w:trPr>
        <w:tc>
          <w:tcPr>
            <w:tcW w:w="3349" w:type="dxa"/>
            <w:vAlign w:val="center"/>
          </w:tcPr>
          <w:p w14:paraId="42F059AC">
            <w:pPr>
              <w:spacing w:line="240" w:lineRule="auto"/>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6"/>
                <w:sz w:val="24"/>
                <w:szCs w:val="24"/>
              </w:rPr>
              <w:t>评</w:t>
            </w:r>
            <w:r>
              <w:rPr>
                <w:rFonts w:hint="default" w:ascii="Times New Roman" w:hAnsi="Times New Roman" w:eastAsia="仿宋_GB2312" w:cs="Times New Roman"/>
                <w:b/>
                <w:bCs/>
                <w:spacing w:val="-3"/>
                <w:sz w:val="24"/>
                <w:szCs w:val="24"/>
              </w:rPr>
              <w:t>价方式</w:t>
            </w:r>
          </w:p>
        </w:tc>
        <w:tc>
          <w:tcPr>
            <w:tcW w:w="5179" w:type="dxa"/>
            <w:gridSpan w:val="2"/>
            <w:vAlign w:val="center"/>
          </w:tcPr>
          <w:p w14:paraId="6AC5ED87">
            <w:pPr>
              <w:spacing w:line="240" w:lineRule="auto"/>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4"/>
                <w:sz w:val="24"/>
                <w:szCs w:val="24"/>
              </w:rPr>
              <w:t>考核项</w:t>
            </w:r>
          </w:p>
        </w:tc>
      </w:tr>
      <w:tr w14:paraId="078D4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3349" w:type="dxa"/>
            <w:vMerge w:val="restart"/>
            <w:tcBorders>
              <w:bottom w:val="nil"/>
            </w:tcBorders>
            <w:vAlign w:val="center"/>
          </w:tcPr>
          <w:p w14:paraId="28FCACBA">
            <w:pPr>
              <w:spacing w:line="240" w:lineRule="auto"/>
              <w:ind w:firstLine="8"/>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24"/>
                <w:sz w:val="24"/>
                <w:szCs w:val="24"/>
              </w:rPr>
              <w:t>建</w:t>
            </w:r>
            <w:r>
              <w:rPr>
                <w:rFonts w:hint="default" w:ascii="Times New Roman" w:hAnsi="Times New Roman" w:eastAsia="仿宋_GB2312" w:cs="Times New Roman"/>
                <w:spacing w:val="-15"/>
                <w:sz w:val="24"/>
                <w:szCs w:val="24"/>
              </w:rPr>
              <w:t>成时间20年以上、至今未开</w:t>
            </w:r>
            <w:r>
              <w:rPr>
                <w:rFonts w:hint="default" w:ascii="Times New Roman" w:hAnsi="Times New Roman" w:eastAsia="仿宋_GB2312" w:cs="Times New Roman"/>
                <w:spacing w:val="8"/>
                <w:sz w:val="24"/>
                <w:szCs w:val="24"/>
              </w:rPr>
              <w:t>展系统改造的老旧小区（含</w:t>
            </w:r>
            <w:r>
              <w:rPr>
                <w:rFonts w:hint="default" w:ascii="Times New Roman" w:hAnsi="Times New Roman" w:eastAsia="仿宋_GB2312" w:cs="Times New Roman"/>
                <w:spacing w:val="6"/>
                <w:sz w:val="24"/>
                <w:szCs w:val="24"/>
              </w:rPr>
              <w:t>单</w:t>
            </w:r>
            <w:r>
              <w:rPr>
                <w:rFonts w:hint="default" w:ascii="Times New Roman" w:hAnsi="Times New Roman" w:eastAsia="仿宋_GB2312" w:cs="Times New Roman"/>
                <w:spacing w:val="-1"/>
                <w:sz w:val="24"/>
                <w:szCs w:val="24"/>
              </w:rPr>
              <w:t>栋</w:t>
            </w:r>
            <w:r>
              <w:rPr>
                <w:rFonts w:hint="default" w:ascii="Times New Roman" w:hAnsi="Times New Roman" w:eastAsia="仿宋_GB2312" w:cs="Times New Roman"/>
                <w:sz w:val="24"/>
                <w:szCs w:val="24"/>
              </w:rPr>
              <w:t>住宅楼）集中连片的城市街</w:t>
            </w:r>
            <w:r>
              <w:rPr>
                <w:rFonts w:hint="default" w:ascii="Times New Roman" w:hAnsi="Times New Roman" w:eastAsia="仿宋_GB2312" w:cs="Times New Roman"/>
                <w:spacing w:val="-1"/>
                <w:sz w:val="24"/>
                <w:szCs w:val="24"/>
              </w:rPr>
              <w:t>区</w:t>
            </w:r>
            <w:r>
              <w:rPr>
                <w:rFonts w:hint="default" w:ascii="Times New Roman" w:hAnsi="Times New Roman" w:eastAsia="仿宋_GB2312" w:cs="Times New Roman"/>
                <w:sz w:val="24"/>
                <w:szCs w:val="24"/>
              </w:rPr>
              <w:t>，单个老旧街区规模可以由</w:t>
            </w:r>
            <w:r>
              <w:rPr>
                <w:rFonts w:hint="default" w:ascii="Times New Roman" w:hAnsi="Times New Roman" w:eastAsia="仿宋_GB2312" w:cs="Times New Roman"/>
                <w:spacing w:val="1"/>
                <w:sz w:val="24"/>
                <w:szCs w:val="24"/>
              </w:rPr>
              <w:t>4-</w:t>
            </w:r>
            <w:r>
              <w:rPr>
                <w:rFonts w:hint="default" w:ascii="Times New Roman" w:hAnsi="Times New Roman" w:eastAsia="仿宋_GB2312" w:cs="Times New Roman"/>
                <w:sz w:val="24"/>
                <w:szCs w:val="24"/>
              </w:rPr>
              <w:t>8个完整居住社区（步行5-</w:t>
            </w:r>
            <w:r>
              <w:rPr>
                <w:rFonts w:hint="default" w:ascii="Times New Roman" w:hAnsi="Times New Roman" w:eastAsia="仿宋_GB2312" w:cs="Times New Roman"/>
                <w:spacing w:val="-12"/>
                <w:sz w:val="24"/>
                <w:szCs w:val="24"/>
              </w:rPr>
              <w:t>10分钟、300-500米可达各类</w:t>
            </w:r>
            <w:r>
              <w:rPr>
                <w:rFonts w:hint="default" w:ascii="Times New Roman" w:hAnsi="Times New Roman" w:eastAsia="仿宋_GB2312" w:cs="Times New Roman"/>
                <w:spacing w:val="-1"/>
                <w:sz w:val="24"/>
                <w:szCs w:val="24"/>
              </w:rPr>
              <w:t>社</w:t>
            </w:r>
            <w:r>
              <w:rPr>
                <w:rFonts w:hint="default" w:ascii="Times New Roman" w:hAnsi="Times New Roman" w:eastAsia="仿宋_GB2312" w:cs="Times New Roman"/>
                <w:sz w:val="24"/>
                <w:szCs w:val="24"/>
              </w:rPr>
              <w:t>区服务设施，常住人口规模</w:t>
            </w:r>
          </w:p>
          <w:p w14:paraId="213098D6">
            <w:pPr>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0.5</w:t>
            </w:r>
            <w:r>
              <w:rPr>
                <w:rFonts w:hint="default" w:ascii="Times New Roman" w:hAnsi="Times New Roman" w:eastAsia="仿宋_GB2312" w:cs="Times New Roman"/>
                <w:spacing w:val="1"/>
                <w:sz w:val="24"/>
                <w:szCs w:val="24"/>
              </w:rPr>
              <w:t>-1.2万人）组成。</w:t>
            </w:r>
          </w:p>
        </w:tc>
        <w:tc>
          <w:tcPr>
            <w:tcW w:w="1307" w:type="dxa"/>
            <w:vAlign w:val="center"/>
          </w:tcPr>
          <w:p w14:paraId="596DFFE5">
            <w:pPr>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8"/>
                <w:sz w:val="24"/>
                <w:szCs w:val="24"/>
              </w:rPr>
              <w:t>既</w:t>
            </w:r>
            <w:r>
              <w:rPr>
                <w:rFonts w:hint="default" w:ascii="Times New Roman" w:hAnsi="Times New Roman" w:eastAsia="仿宋_GB2312" w:cs="Times New Roman"/>
                <w:spacing w:val="-6"/>
                <w:sz w:val="24"/>
                <w:szCs w:val="24"/>
              </w:rPr>
              <w:t>有建筑</w:t>
            </w:r>
          </w:p>
        </w:tc>
        <w:tc>
          <w:tcPr>
            <w:tcW w:w="3872" w:type="dxa"/>
            <w:vAlign w:val="center"/>
          </w:tcPr>
          <w:p w14:paraId="733B89A0">
            <w:pPr>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4"/>
                <w:position w:val="17"/>
                <w:sz w:val="24"/>
                <w:szCs w:val="24"/>
              </w:rPr>
              <w:t>建成年</w:t>
            </w:r>
            <w:r>
              <w:rPr>
                <w:rFonts w:hint="default" w:ascii="Times New Roman" w:hAnsi="Times New Roman" w:eastAsia="仿宋_GB2312" w:cs="Times New Roman"/>
                <w:spacing w:val="2"/>
                <w:position w:val="17"/>
                <w:sz w:val="24"/>
                <w:szCs w:val="24"/>
              </w:rPr>
              <w:t>代较早、空置率高的低效闲</w:t>
            </w:r>
          </w:p>
          <w:p w14:paraId="40B591DF">
            <w:pPr>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11"/>
                <w:sz w:val="24"/>
                <w:szCs w:val="24"/>
              </w:rPr>
              <w:t>置</w:t>
            </w:r>
            <w:r>
              <w:rPr>
                <w:rFonts w:hint="default" w:ascii="Times New Roman" w:hAnsi="Times New Roman" w:eastAsia="仿宋_GB2312" w:cs="Times New Roman"/>
                <w:spacing w:val="-6"/>
                <w:sz w:val="24"/>
                <w:szCs w:val="24"/>
              </w:rPr>
              <w:t>建筑数量。</w:t>
            </w:r>
          </w:p>
        </w:tc>
      </w:tr>
      <w:tr w14:paraId="0CC1BC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jc w:val="center"/>
        </w:trPr>
        <w:tc>
          <w:tcPr>
            <w:tcW w:w="3349" w:type="dxa"/>
            <w:vMerge w:val="continue"/>
            <w:tcBorders>
              <w:top w:val="nil"/>
              <w:bottom w:val="nil"/>
            </w:tcBorders>
            <w:vAlign w:val="center"/>
          </w:tcPr>
          <w:p w14:paraId="2F5C52F8">
            <w:pPr>
              <w:spacing w:line="240" w:lineRule="auto"/>
              <w:jc w:val="center"/>
              <w:rPr>
                <w:rFonts w:hint="default" w:ascii="Times New Roman" w:hAnsi="Times New Roman" w:eastAsia="仿宋_GB2312" w:cs="Times New Roman"/>
                <w:sz w:val="24"/>
                <w:szCs w:val="24"/>
              </w:rPr>
            </w:pPr>
          </w:p>
        </w:tc>
        <w:tc>
          <w:tcPr>
            <w:tcW w:w="1307" w:type="dxa"/>
            <w:vAlign w:val="center"/>
          </w:tcPr>
          <w:p w14:paraId="2332ED64">
            <w:pPr>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服务设施</w:t>
            </w:r>
          </w:p>
        </w:tc>
        <w:tc>
          <w:tcPr>
            <w:tcW w:w="3872" w:type="dxa"/>
            <w:vAlign w:val="center"/>
          </w:tcPr>
          <w:p w14:paraId="058A8FE3">
            <w:pPr>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4"/>
                <w:position w:val="17"/>
                <w:sz w:val="24"/>
                <w:szCs w:val="24"/>
              </w:rPr>
              <w:t>根据</w:t>
            </w:r>
            <w:r>
              <w:rPr>
                <w:rFonts w:hint="default" w:ascii="Times New Roman" w:hAnsi="Times New Roman" w:eastAsia="仿宋_GB2312" w:cs="Times New Roman"/>
                <w:spacing w:val="3"/>
                <w:position w:val="17"/>
                <w:sz w:val="24"/>
                <w:szCs w:val="24"/>
              </w:rPr>
              <w:t>居</w:t>
            </w:r>
            <w:r>
              <w:rPr>
                <w:rFonts w:hint="default" w:ascii="Times New Roman" w:hAnsi="Times New Roman" w:eastAsia="仿宋_GB2312" w:cs="Times New Roman"/>
                <w:spacing w:val="2"/>
                <w:position w:val="17"/>
                <w:sz w:val="24"/>
                <w:szCs w:val="24"/>
              </w:rPr>
              <w:t>住区标准“基本公共服务设</w:t>
            </w:r>
          </w:p>
          <w:p w14:paraId="6B79ABA7">
            <w:pPr>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6"/>
                <w:sz w:val="24"/>
                <w:szCs w:val="24"/>
              </w:rPr>
              <w:t>施”</w:t>
            </w:r>
            <w:r>
              <w:rPr>
                <w:rFonts w:hint="default" w:ascii="Times New Roman" w:hAnsi="Times New Roman" w:eastAsia="仿宋_GB2312" w:cs="Times New Roman"/>
                <w:spacing w:val="-5"/>
                <w:sz w:val="24"/>
                <w:szCs w:val="24"/>
              </w:rPr>
              <w:t>未</w:t>
            </w:r>
            <w:r>
              <w:rPr>
                <w:rFonts w:hint="default" w:ascii="Times New Roman" w:hAnsi="Times New Roman" w:eastAsia="仿宋_GB2312" w:cs="Times New Roman"/>
                <w:spacing w:val="-3"/>
                <w:sz w:val="24"/>
                <w:szCs w:val="24"/>
              </w:rPr>
              <w:t>达标区域面积占比。</w:t>
            </w:r>
          </w:p>
        </w:tc>
      </w:tr>
      <w:tr w14:paraId="0347E0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jc w:val="center"/>
        </w:trPr>
        <w:tc>
          <w:tcPr>
            <w:tcW w:w="3349" w:type="dxa"/>
            <w:vMerge w:val="continue"/>
            <w:tcBorders>
              <w:top w:val="nil"/>
              <w:bottom w:val="nil"/>
            </w:tcBorders>
            <w:vAlign w:val="center"/>
          </w:tcPr>
          <w:p w14:paraId="18FBF6FC">
            <w:pPr>
              <w:spacing w:line="240" w:lineRule="auto"/>
              <w:jc w:val="center"/>
              <w:rPr>
                <w:rFonts w:hint="default" w:ascii="Times New Roman" w:hAnsi="Times New Roman" w:eastAsia="仿宋_GB2312" w:cs="Times New Roman"/>
                <w:sz w:val="24"/>
                <w:szCs w:val="24"/>
              </w:rPr>
            </w:pPr>
          </w:p>
        </w:tc>
        <w:tc>
          <w:tcPr>
            <w:tcW w:w="1307" w:type="dxa"/>
            <w:vAlign w:val="center"/>
          </w:tcPr>
          <w:p w14:paraId="7C2CAD00">
            <w:pPr>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基础设施</w:t>
            </w:r>
          </w:p>
        </w:tc>
        <w:tc>
          <w:tcPr>
            <w:tcW w:w="3872" w:type="dxa"/>
            <w:vAlign w:val="center"/>
          </w:tcPr>
          <w:p w14:paraId="19944452">
            <w:pPr>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4"/>
                <w:position w:val="17"/>
                <w:sz w:val="24"/>
                <w:szCs w:val="24"/>
              </w:rPr>
              <w:t>根据</w:t>
            </w:r>
            <w:r>
              <w:rPr>
                <w:rFonts w:hint="default" w:ascii="Times New Roman" w:hAnsi="Times New Roman" w:eastAsia="仿宋_GB2312" w:cs="Times New Roman"/>
                <w:spacing w:val="3"/>
                <w:position w:val="17"/>
                <w:sz w:val="24"/>
                <w:szCs w:val="24"/>
              </w:rPr>
              <w:t>居</w:t>
            </w:r>
            <w:r>
              <w:rPr>
                <w:rFonts w:hint="default" w:ascii="Times New Roman" w:hAnsi="Times New Roman" w:eastAsia="仿宋_GB2312" w:cs="Times New Roman"/>
                <w:spacing w:val="2"/>
                <w:position w:val="17"/>
                <w:sz w:val="24"/>
                <w:szCs w:val="24"/>
              </w:rPr>
              <w:t>住区标准“市政配套基础设</w:t>
            </w:r>
          </w:p>
          <w:p w14:paraId="7FBFEEE0">
            <w:pPr>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6"/>
                <w:sz w:val="24"/>
                <w:szCs w:val="24"/>
              </w:rPr>
              <w:t>施”</w:t>
            </w:r>
            <w:r>
              <w:rPr>
                <w:rFonts w:hint="default" w:ascii="Times New Roman" w:hAnsi="Times New Roman" w:eastAsia="仿宋_GB2312" w:cs="Times New Roman"/>
                <w:spacing w:val="-5"/>
                <w:sz w:val="24"/>
                <w:szCs w:val="24"/>
              </w:rPr>
              <w:t>待</w:t>
            </w:r>
            <w:r>
              <w:rPr>
                <w:rFonts w:hint="default" w:ascii="Times New Roman" w:hAnsi="Times New Roman" w:eastAsia="仿宋_GB2312" w:cs="Times New Roman"/>
                <w:spacing w:val="-3"/>
                <w:sz w:val="24"/>
                <w:szCs w:val="24"/>
              </w:rPr>
              <w:t>改造区域面积占比。</w:t>
            </w:r>
          </w:p>
        </w:tc>
      </w:tr>
      <w:tr w14:paraId="41A308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jc w:val="center"/>
        </w:trPr>
        <w:tc>
          <w:tcPr>
            <w:tcW w:w="3349" w:type="dxa"/>
            <w:vMerge w:val="continue"/>
            <w:tcBorders>
              <w:top w:val="nil"/>
            </w:tcBorders>
            <w:vAlign w:val="center"/>
          </w:tcPr>
          <w:p w14:paraId="7409A849">
            <w:pPr>
              <w:spacing w:line="240" w:lineRule="auto"/>
              <w:jc w:val="center"/>
              <w:rPr>
                <w:rFonts w:hint="default" w:ascii="Times New Roman" w:hAnsi="Times New Roman" w:eastAsia="仿宋_GB2312" w:cs="Times New Roman"/>
                <w:sz w:val="24"/>
                <w:szCs w:val="24"/>
              </w:rPr>
            </w:pPr>
          </w:p>
        </w:tc>
        <w:tc>
          <w:tcPr>
            <w:tcW w:w="1307" w:type="dxa"/>
            <w:vAlign w:val="center"/>
          </w:tcPr>
          <w:p w14:paraId="26C9EAEB">
            <w:pPr>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5"/>
                <w:sz w:val="24"/>
                <w:szCs w:val="24"/>
              </w:rPr>
              <w:t>活</w:t>
            </w:r>
            <w:r>
              <w:rPr>
                <w:rFonts w:hint="default" w:ascii="Times New Roman" w:hAnsi="Times New Roman" w:eastAsia="仿宋_GB2312" w:cs="Times New Roman"/>
                <w:spacing w:val="-4"/>
                <w:sz w:val="24"/>
                <w:szCs w:val="24"/>
              </w:rPr>
              <w:t>力提升</w:t>
            </w:r>
          </w:p>
        </w:tc>
        <w:tc>
          <w:tcPr>
            <w:tcW w:w="3872" w:type="dxa"/>
            <w:vAlign w:val="center"/>
          </w:tcPr>
          <w:p w14:paraId="769021D0">
            <w:pPr>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4"/>
                <w:position w:val="17"/>
                <w:sz w:val="24"/>
                <w:szCs w:val="24"/>
              </w:rPr>
              <w:t>新市民</w:t>
            </w:r>
            <w:r>
              <w:rPr>
                <w:rFonts w:hint="default" w:ascii="Times New Roman" w:hAnsi="Times New Roman" w:eastAsia="仿宋_GB2312" w:cs="Times New Roman"/>
                <w:spacing w:val="2"/>
                <w:position w:val="17"/>
                <w:sz w:val="24"/>
                <w:szCs w:val="24"/>
              </w:rPr>
              <w:t>、青年人占常住人口总量比</w:t>
            </w:r>
          </w:p>
          <w:p w14:paraId="62563059">
            <w:pPr>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13"/>
                <w:sz w:val="24"/>
                <w:szCs w:val="24"/>
              </w:rPr>
              <w:t>例</w:t>
            </w:r>
            <w:r>
              <w:rPr>
                <w:rFonts w:hint="default" w:ascii="Times New Roman" w:hAnsi="Times New Roman" w:eastAsia="仿宋_GB2312" w:cs="Times New Roman"/>
                <w:spacing w:val="-11"/>
                <w:sz w:val="24"/>
                <w:szCs w:val="24"/>
              </w:rPr>
              <w:t>。</w:t>
            </w:r>
          </w:p>
        </w:tc>
      </w:tr>
    </w:tbl>
    <w:p w14:paraId="3C4289D7">
      <w:pPr>
        <w:spacing w:line="360" w:lineRule="auto"/>
        <w:rPr>
          <w:rFonts w:hint="default" w:ascii="Times New Roman" w:hAnsi="Times New Roman" w:cs="Times New Roman"/>
          <w:sz w:val="24"/>
          <w:szCs w:val="24"/>
        </w:rPr>
      </w:pPr>
    </w:p>
    <w:p w14:paraId="3CCB6FF0">
      <w:pPr>
        <w:spacing w:line="360" w:lineRule="auto"/>
        <w:rPr>
          <w:rFonts w:hint="default" w:ascii="Times New Roman" w:hAnsi="Times New Roman" w:eastAsia="仿宋_GB2312" w:cs="Times New Roman"/>
          <w:b/>
          <w:bCs/>
          <w:spacing w:val="5"/>
          <w:position w:val="2"/>
          <w:sz w:val="32"/>
          <w:szCs w:val="32"/>
        </w:rPr>
      </w:pPr>
    </w:p>
    <w:p w14:paraId="6E04B63D">
      <w:pPr>
        <w:spacing w:line="360" w:lineRule="auto"/>
        <w:rPr>
          <w:rFonts w:hint="default" w:ascii="Times New Roman" w:hAnsi="Times New Roman" w:eastAsia="仿宋_GB2312" w:cs="Times New Roman"/>
          <w:b/>
          <w:bCs/>
          <w:spacing w:val="5"/>
          <w:position w:val="2"/>
          <w:sz w:val="32"/>
          <w:szCs w:val="32"/>
        </w:rPr>
      </w:pPr>
      <w:r>
        <w:rPr>
          <w:rFonts w:hint="default" w:ascii="Times New Roman" w:hAnsi="Times New Roman" w:eastAsia="仿宋_GB2312" w:cs="Times New Roman"/>
          <w:b/>
          <w:bCs/>
          <w:spacing w:val="5"/>
          <w:position w:val="2"/>
          <w:sz w:val="32"/>
          <w:szCs w:val="32"/>
        </w:rPr>
        <w:t>四、城区（城市）维度</w:t>
      </w:r>
    </w:p>
    <w:p w14:paraId="109E1992">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统计对象：城市建成区域。</w:t>
      </w:r>
    </w:p>
    <w:p w14:paraId="38FD4F4C">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空间范围：以城市市辖区范围内集中连片的城市开发建设用地作为建成区统计范围，包括与城市紧密连接承担部分城市功能村庄居民点用地，同时根据城市可持续发展和安全保障要求，可纳入一定比例的生态用地。城区（城市）部分指标采样范围可拓展到市辖区和市域。</w:t>
      </w:r>
    </w:p>
    <w:p w14:paraId="5D6CFCB7">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体检方式：采用市级统筹，各专业部门和各区分工负责的工作方式加强数据采集与汇总，同时结合第三方数据进行辅助校核。</w:t>
      </w:r>
    </w:p>
    <w:p w14:paraId="2C70CF67">
      <w:pPr>
        <w:spacing w:line="360" w:lineRule="auto"/>
        <w:rPr>
          <w:rFonts w:hint="eastAsia" w:ascii="Times New Roman" w:hAnsi="Times New Roman" w:eastAsia="仿宋_GB2312" w:cs="Times New Roman"/>
          <w:b/>
          <w:bCs/>
          <w:sz w:val="32"/>
          <w:szCs w:val="32"/>
          <w:lang w:eastAsia="zh-CN"/>
        </w:rPr>
      </w:pPr>
      <w:r>
        <w:rPr>
          <w:rFonts w:hint="default" w:ascii="Times New Roman" w:hAnsi="Times New Roman" w:eastAsia="仿宋_GB2312" w:cs="Times New Roman"/>
          <w:b/>
          <w:bCs/>
          <w:spacing w:val="4"/>
          <w:sz w:val="32"/>
          <w:szCs w:val="32"/>
        </w:rPr>
        <w:t>指标32：城市生活污水集中收集率（%</w:t>
      </w:r>
      <w:r>
        <w:rPr>
          <w:rFonts w:hint="eastAsia" w:ascii="Times New Roman" w:hAnsi="Times New Roman" w:eastAsia="仿宋_GB2312" w:cs="Times New Roman"/>
          <w:b/>
          <w:bCs/>
          <w:sz w:val="32"/>
          <w:szCs w:val="32"/>
          <w:lang w:eastAsia="zh-CN"/>
        </w:rPr>
        <w:t>）</w:t>
      </w:r>
    </w:p>
    <w:p w14:paraId="56808383">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428B50ED">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到2025年城市生活污水集中收集率达到70%的目标，调查分析市辖区建成区内通过集中式和分布式污水处理设施收集的生活污染物量，占生活污染物排放总量的百分比，查找城镇污水收集处理设施建设、运维等方面的差距和问题。</w:t>
      </w:r>
    </w:p>
    <w:p w14:paraId="4B4549B1">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【计</w:t>
      </w:r>
      <w:r>
        <w:rPr>
          <w:rFonts w:hint="default" w:ascii="Times New Roman" w:hAnsi="Times New Roman" w:eastAsia="仿宋_GB2312" w:cs="Times New Roman"/>
          <w:spacing w:val="1"/>
          <w:sz w:val="32"/>
          <w:szCs w:val="32"/>
        </w:rPr>
        <w:t>算方式】</w:t>
      </w:r>
    </w:p>
    <w:p w14:paraId="7B0EC57F">
      <w:pPr>
        <w:spacing w:line="360" w:lineRule="auto"/>
        <w:ind w:firstLine="480" w:firstLineChars="200"/>
        <w:rPr>
          <w:rFonts w:hint="default" w:ascii="Times New Roman" w:hAnsi="Times New Roman" w:eastAsia="仿宋_GB2312" w:cs="Times New Roman"/>
          <w:iCs/>
          <w:color w:val="000000"/>
          <w:sz w:val="32"/>
          <w:szCs w:val="32"/>
        </w:rPr>
      </w:pPr>
      <m:oMath>
        <m:f>
          <m:fPr>
            <m:ctrlPr>
              <w:rPr>
                <w:rFonts w:hint="default" w:ascii="Cambria Math" w:hAnsi="Cambria Math" w:eastAsia="仿宋" w:cs="Times New Roman"/>
                <w:iCs/>
                <w:color w:val="000000"/>
                <w:sz w:val="24"/>
                <w:szCs w:val="24"/>
              </w:rPr>
            </m:ctrlPr>
          </m:fPr>
          <m:num>
            <m:r>
              <m:rPr>
                <m:sty m:val="p"/>
              </m:rPr>
              <w:rPr>
                <w:rFonts w:hint="default" w:ascii="Cambria Math" w:hAnsi="Cambria Math" w:eastAsia="仿宋" w:cs="Times New Roman"/>
                <w:color w:val="000000"/>
                <w:sz w:val="24"/>
                <w:szCs w:val="24"/>
              </w:rPr>
              <m:t>污水处理厂进水量×污水处理厂的生活污染物浓度</m:t>
            </m:r>
            <m:ctrlPr>
              <w:rPr>
                <w:rFonts w:hint="default" w:ascii="Cambria Math" w:hAnsi="Cambria Math" w:eastAsia="仿宋" w:cs="Times New Roman"/>
                <w:iCs/>
                <w:color w:val="000000"/>
                <w:sz w:val="24"/>
                <w:szCs w:val="24"/>
              </w:rPr>
            </m:ctrlPr>
          </m:num>
          <m:den>
            <m:r>
              <m:rPr>
                <m:sty m:val="p"/>
              </m:rPr>
              <w:rPr>
                <w:rFonts w:hint="default" w:ascii="Cambria Math" w:hAnsi="Cambria Math" w:eastAsia="仿宋" w:cs="Times New Roman"/>
                <w:color w:val="000000"/>
                <w:sz w:val="24"/>
                <w:szCs w:val="24"/>
              </w:rPr>
              <m:t>城区用水总人口×人均日生活污染物排放量</m:t>
            </m:r>
            <m:ctrlPr>
              <w:rPr>
                <w:rFonts w:hint="default" w:ascii="Cambria Math" w:hAnsi="Cambria Math" w:eastAsia="仿宋" w:cs="Times New Roman"/>
                <w:iCs/>
                <w:color w:val="000000"/>
                <w:sz w:val="24"/>
                <w:szCs w:val="24"/>
              </w:rPr>
            </m:ctrlPr>
          </m:den>
        </m:f>
        <m:r>
          <m:rPr>
            <m:sty m:val="p"/>
          </m:rPr>
          <w:rPr>
            <w:rFonts w:hint="default" w:ascii="Cambria Math" w:hAnsi="Cambria Math" w:eastAsia="仿宋" w:cs="Times New Roman"/>
            <w:color w:val="000000"/>
            <w:sz w:val="24"/>
            <w:szCs w:val="24"/>
          </w:rPr>
          <m:t>×100%</m:t>
        </m:r>
      </m:oMath>
      <w:r>
        <w:rPr>
          <w:rFonts w:hint="default" w:ascii="Times New Roman" w:hAnsi="Times New Roman" w:eastAsia="仿宋" w:cs="Times New Roman"/>
          <w:iCs/>
          <w:color w:val="000000"/>
          <w:sz w:val="24"/>
          <w:szCs w:val="24"/>
        </w:rPr>
        <w:t>，</w:t>
      </w:r>
      <w:r>
        <w:rPr>
          <w:rFonts w:hint="default" w:ascii="Times New Roman" w:hAnsi="Times New Roman" w:eastAsia="仿宋_GB2312" w:cs="Times New Roman"/>
          <w:iCs/>
          <w:color w:val="000000"/>
          <w:sz w:val="32"/>
          <w:szCs w:val="32"/>
        </w:rPr>
        <w:t>计算单元为市辖区建成区，由城市排水主管部门通过污水处理厂提供数据。</w:t>
      </w:r>
    </w:p>
    <w:p w14:paraId="0E7A04D8">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67893205">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官方统计数据、行业部门填报数据。</w:t>
      </w:r>
    </w:p>
    <w:p w14:paraId="7949C5A0">
      <w:pPr>
        <w:spacing w:line="360" w:lineRule="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【参考标准】</w:t>
      </w:r>
    </w:p>
    <w:p w14:paraId="02686E65">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70%。到2025年，城市生活污水集中收集率力争达到70%以上。根据《深入打好城市黑臭水体治理攻坚战实施方案》《海绵示范绩效评价指标》等目标，确定此项指标2025年目标值为70%。</w:t>
      </w:r>
    </w:p>
    <w:p w14:paraId="4DB169EF">
      <w:pPr>
        <w:pStyle w:val="2"/>
        <w:ind w:firstLine="480"/>
        <w:rPr>
          <w:rFonts w:hint="default" w:ascii="Times New Roman" w:hAnsi="Times New Roman" w:eastAsia="仿宋_GB2312" w:cs="Times New Roman"/>
          <w:sz w:val="32"/>
          <w:szCs w:val="32"/>
        </w:rPr>
      </w:pPr>
    </w:p>
    <w:p w14:paraId="1810F895">
      <w:pPr>
        <w:spacing w:line="360" w:lineRule="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指标</w:t>
      </w:r>
      <w:r>
        <w:rPr>
          <w:rFonts w:hint="default" w:ascii="Times New Roman" w:hAnsi="Times New Roman" w:eastAsia="仿宋_GB2312" w:cs="Times New Roman"/>
          <w:b/>
          <w:bCs/>
          <w:spacing w:val="2"/>
          <w:sz w:val="32"/>
          <w:szCs w:val="32"/>
        </w:rPr>
        <w:t>33：城市水体返黑返臭事件数量（起）</w:t>
      </w:r>
    </w:p>
    <w:p w14:paraId="039DFDB6">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129C714B">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按照深入打好城市黑臭水体治理攻坚战的要求，调查当年市辖区建成区内城市水体反弹造成的返黑返臭事件数量。</w:t>
      </w:r>
    </w:p>
    <w:p w14:paraId="4DC943D6">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【计</w:t>
      </w:r>
      <w:r>
        <w:rPr>
          <w:rFonts w:hint="default" w:ascii="Times New Roman" w:hAnsi="Times New Roman" w:eastAsia="仿宋_GB2312" w:cs="Times New Roman"/>
          <w:spacing w:val="1"/>
          <w:sz w:val="32"/>
          <w:szCs w:val="32"/>
        </w:rPr>
        <w:t>算方式】</w:t>
      </w:r>
    </w:p>
    <w:p w14:paraId="66F5E619">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计算单元为建成区，由各市辖区统计城市水体持续恶化反弹出现返黑反臭问题的事件次数汇总。</w:t>
      </w:r>
    </w:p>
    <w:p w14:paraId="15F872CB">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300DF7B1">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官方统计数据、行业部门填报数据。</w:t>
      </w:r>
    </w:p>
    <w:p w14:paraId="540C6F26">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【参考标准】</w:t>
      </w:r>
    </w:p>
    <w:p w14:paraId="04D66A2F">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深入打好城市黑臭水体治理攻坚战实施方案》（建城〔2022〕29号）要求，各城市应深入打好城市黑臭水体治理攻坚战，已经完成治理、实现水体不黑不臭的县级及以上城市，要巩固城市黑臭水体治理成效，建立防止返黑返臭的长效机制，加快改善城市水环境质量。</w:t>
      </w:r>
    </w:p>
    <w:p w14:paraId="2B51DD92">
      <w:pPr>
        <w:pStyle w:val="2"/>
        <w:ind w:firstLine="480"/>
        <w:rPr>
          <w:rFonts w:hint="default" w:ascii="Times New Roman" w:hAnsi="Times New Roman" w:eastAsia="仿宋_GB2312" w:cs="Times New Roman"/>
          <w:sz w:val="32"/>
          <w:szCs w:val="32"/>
        </w:rPr>
      </w:pPr>
    </w:p>
    <w:p w14:paraId="5890C585">
      <w:pPr>
        <w:spacing w:line="360" w:lineRule="auto"/>
        <w:rPr>
          <w:rFonts w:hint="eastAsia" w:ascii="Times New Roman" w:hAnsi="Times New Roman" w:eastAsia="仿宋_GB2312" w:cs="Times New Roman"/>
          <w:b/>
          <w:bCs/>
          <w:sz w:val="32"/>
          <w:szCs w:val="32"/>
          <w:lang w:eastAsia="zh-CN"/>
        </w:rPr>
      </w:pPr>
      <w:r>
        <w:rPr>
          <w:rFonts w:hint="default" w:ascii="Times New Roman" w:hAnsi="Times New Roman" w:eastAsia="仿宋_GB2312" w:cs="Times New Roman"/>
          <w:b/>
          <w:bCs/>
          <w:spacing w:val="6"/>
          <w:sz w:val="32"/>
          <w:szCs w:val="32"/>
        </w:rPr>
        <w:t>指</w:t>
      </w:r>
      <w:r>
        <w:rPr>
          <w:rFonts w:hint="default" w:ascii="Times New Roman" w:hAnsi="Times New Roman" w:eastAsia="仿宋_GB2312" w:cs="Times New Roman"/>
          <w:b/>
          <w:bCs/>
          <w:spacing w:val="4"/>
          <w:sz w:val="32"/>
          <w:szCs w:val="32"/>
        </w:rPr>
        <w:t>标34：绿道服务半径覆盖率（%</w:t>
      </w:r>
      <w:r>
        <w:rPr>
          <w:rFonts w:hint="eastAsia" w:ascii="Times New Roman" w:hAnsi="Times New Roman" w:eastAsia="仿宋_GB2312" w:cs="Times New Roman"/>
          <w:b/>
          <w:bCs/>
          <w:spacing w:val="4"/>
          <w:sz w:val="32"/>
          <w:szCs w:val="32"/>
          <w:lang w:eastAsia="zh-CN"/>
        </w:rPr>
        <w:t>）</w:t>
      </w:r>
    </w:p>
    <w:p w14:paraId="2CF86F73">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603EDA4A">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到2025年绿道服务半径覆盖率达到70%的目标，调查分析市辖区建成区内绿道两侧1公里服务半径覆盖的居住用地面积，占总居住用地面积的百分比，查找城市绿道长度、布局、贯通性、建设品质等方面的差距和问题。</w:t>
      </w:r>
    </w:p>
    <w:p w14:paraId="7385BD6E">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【计算方式】</w:t>
      </w:r>
    </w:p>
    <w:p w14:paraId="791AC701">
      <w:pPr>
        <w:spacing w:line="360" w:lineRule="auto"/>
        <w:ind w:firstLine="420" w:firstLineChars="200"/>
        <w:rPr>
          <w:rFonts w:hint="default" w:ascii="Times New Roman" w:hAnsi="Times New Roman" w:eastAsia="仿宋" w:cs="Times New Roman"/>
          <w:iCs/>
          <w:color w:val="000000"/>
          <w:sz w:val="24"/>
          <w:szCs w:val="24"/>
        </w:rPr>
      </w:pPr>
      <m:oMathPara>
        <m:oMath>
          <m:f>
            <m:fPr>
              <m:ctrlPr>
                <w:rPr>
                  <w:rFonts w:hint="default" w:ascii="Cambria Math" w:hAnsi="Cambria Math" w:eastAsia="仿宋" w:cs="Times New Roman"/>
                  <w:iCs/>
                  <w:color w:val="000000"/>
                  <w:sz w:val="21"/>
                  <w:szCs w:val="21"/>
                </w:rPr>
              </m:ctrlPr>
            </m:fPr>
            <m:num>
              <m:r>
                <m:rPr>
                  <m:sty m:val="p"/>
                </m:rPr>
                <w:rPr>
                  <w:rFonts w:hint="default" w:ascii="Cambria Math" w:hAnsi="Cambria Math" w:eastAsia="仿宋" w:cs="Times New Roman"/>
                  <w:color w:val="000000"/>
                  <w:sz w:val="21"/>
                  <w:szCs w:val="21"/>
                </w:rPr>
                <m:t>市辖区建成区内绿道两侧1公里服务范围覆盖的市辖区建成区居住用地面积</m:t>
              </m:r>
              <m:ctrlPr>
                <w:rPr>
                  <w:rFonts w:hint="default" w:ascii="Cambria Math" w:hAnsi="Cambria Math" w:eastAsia="仿宋" w:cs="Times New Roman"/>
                  <w:iCs/>
                  <w:color w:val="000000"/>
                  <w:sz w:val="21"/>
                  <w:szCs w:val="21"/>
                </w:rPr>
              </m:ctrlPr>
            </m:num>
            <m:den>
              <m:r>
                <m:rPr>
                  <m:sty m:val="p"/>
                </m:rPr>
                <w:rPr>
                  <w:rFonts w:hint="default" w:ascii="Cambria Math" w:hAnsi="Cambria Math" w:eastAsia="仿宋" w:cs="Times New Roman"/>
                  <w:color w:val="000000"/>
                  <w:sz w:val="21"/>
                  <w:szCs w:val="21"/>
                </w:rPr>
                <m:t>市辖区建成区总居住用地面积</m:t>
              </m:r>
              <m:ctrlPr>
                <w:rPr>
                  <w:rFonts w:hint="default" w:ascii="Cambria Math" w:hAnsi="Cambria Math" w:eastAsia="仿宋" w:cs="Times New Roman"/>
                  <w:iCs/>
                  <w:color w:val="000000"/>
                  <w:sz w:val="21"/>
                  <w:szCs w:val="21"/>
                </w:rPr>
              </m:ctrlPr>
            </m:den>
          </m:f>
          <m:r>
            <m:rPr>
              <m:sty m:val="p"/>
            </m:rPr>
            <w:rPr>
              <w:rFonts w:hint="default" w:ascii="Cambria Math" w:hAnsi="Cambria Math" w:eastAsia="仿宋" w:cs="Times New Roman"/>
              <w:color w:val="000000"/>
              <w:sz w:val="21"/>
              <w:szCs w:val="24"/>
            </w:rPr>
            <m:t>×100%</m:t>
          </m:r>
        </m:oMath>
      </m:oMathPara>
    </w:p>
    <w:p w14:paraId="3A853D55">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计算单元为建成区，由各市辖区统计后汇总。依据《绿道规划设计导则》，并结合地方实际情况，纳入统计的绿道总宽度宜大于6m，绿道单侧绿色空间宽度不小于1.5m；绿道步行道宽度不小于2m，绿道综合道宽度不小于3m；在保证安全的前提下统筹考虑绿道的连通性、方便性和舒适性，合理配置绿道服务设施。</w:t>
      </w:r>
    </w:p>
    <w:p w14:paraId="39B47CE1">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074DBC3D">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官方统计数据、行业部门填报数据、遥感数据测算。</w:t>
      </w:r>
    </w:p>
    <w:p w14:paraId="4CD4CCD0">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【参考标准】</w:t>
      </w:r>
    </w:p>
    <w:p w14:paraId="5BB8B5F3">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≥70%。根据《国家园林城市评选标准》</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2022版），国家生态园林城市≥70%；国家园林城市≥60%，其他城市参照国家园林城市标准。</w:t>
      </w:r>
    </w:p>
    <w:p w14:paraId="76CC7E7D">
      <w:pPr>
        <w:spacing w:line="360" w:lineRule="auto"/>
        <w:ind w:firstLine="640" w:firstLineChars="200"/>
        <w:rPr>
          <w:rFonts w:hint="default" w:ascii="Times New Roman" w:hAnsi="Times New Roman" w:eastAsia="仿宋_GB2312" w:cs="Times New Roman"/>
          <w:iCs/>
          <w:color w:val="000000"/>
          <w:sz w:val="32"/>
          <w:szCs w:val="32"/>
        </w:rPr>
      </w:pPr>
    </w:p>
    <w:p w14:paraId="202A7312">
      <w:pPr>
        <w:spacing w:line="360" w:lineRule="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3"/>
          <w:sz w:val="32"/>
          <w:szCs w:val="32"/>
        </w:rPr>
        <w:t>指标35：人均体育场地面积（平方米/人）</w:t>
      </w:r>
    </w:p>
    <w:p w14:paraId="1BAC5906">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4DE32EB8">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按照到2025年人均体育场地面积达到2.6平方米的目标，调查市辖区建成区内常住人口人均拥有的体育场地面积情况，查找城市体育场地、健身设施等方面的差距和问题。</w:t>
      </w:r>
    </w:p>
    <w:p w14:paraId="0A8223B5">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【计算方式】</w:t>
      </w:r>
    </w:p>
    <w:p w14:paraId="4D5ED969">
      <w:pPr>
        <w:spacing w:line="360" w:lineRule="auto"/>
        <w:ind w:firstLine="480" w:firstLineChars="200"/>
        <w:jc w:val="center"/>
        <w:rPr>
          <w:rFonts w:hint="default" w:ascii="Times New Roman" w:hAnsi="Times New Roman" w:eastAsia="仿宋_GB2312" w:cs="Times New Roman"/>
          <w:sz w:val="32"/>
          <w:szCs w:val="32"/>
        </w:rPr>
      </w:pPr>
      <m:oMath>
        <m:f>
          <m:fPr>
            <m:ctrlPr>
              <w:rPr>
                <w:rFonts w:hint="default" w:ascii="Cambria Math" w:hAnsi="Cambria Math" w:eastAsia="仿宋" w:cs="Times New Roman"/>
                <w:iCs/>
                <w:color w:val="000000"/>
                <w:sz w:val="24"/>
                <w:szCs w:val="24"/>
              </w:rPr>
            </m:ctrlPr>
          </m:fPr>
          <m:num>
            <m:r>
              <m:rPr>
                <m:sty m:val="p"/>
              </m:rPr>
              <w:rPr>
                <w:rFonts w:hint="default" w:ascii="Cambria Math" w:hAnsi="Cambria Math" w:eastAsia="仿宋" w:cs="Times New Roman"/>
                <w:color w:val="000000"/>
                <w:sz w:val="24"/>
                <w:szCs w:val="24"/>
              </w:rPr>
              <m:t>市辖区建成区内体育场地面积</m:t>
            </m:r>
            <m:ctrlPr>
              <w:rPr>
                <w:rFonts w:hint="default" w:ascii="Cambria Math" w:hAnsi="Cambria Math" w:eastAsia="仿宋" w:cs="Times New Roman"/>
                <w:iCs/>
                <w:color w:val="000000"/>
                <w:sz w:val="24"/>
                <w:szCs w:val="24"/>
              </w:rPr>
            </m:ctrlPr>
          </m:num>
          <m:den>
            <m:r>
              <m:rPr>
                <m:sty m:val="p"/>
              </m:rPr>
              <w:rPr>
                <w:rFonts w:hint="default" w:ascii="Cambria Math" w:hAnsi="Cambria Math" w:eastAsia="仿宋" w:cs="Times New Roman"/>
                <w:color w:val="000000"/>
                <w:sz w:val="24"/>
                <w:szCs w:val="24"/>
              </w:rPr>
              <m:t>市辖区建成区常住人口</m:t>
            </m:r>
            <m:ctrlPr>
              <w:rPr>
                <w:rFonts w:hint="default" w:ascii="Cambria Math" w:hAnsi="Cambria Math" w:eastAsia="仿宋" w:cs="Times New Roman"/>
                <w:iCs/>
                <w:color w:val="000000"/>
                <w:sz w:val="24"/>
                <w:szCs w:val="24"/>
              </w:rPr>
            </m:ctrlPr>
          </m:den>
        </m:f>
      </m:oMath>
      <w:r>
        <w:rPr>
          <w:rFonts w:hint="default" w:ascii="Times New Roman" w:hAnsi="Times New Roman" w:eastAsia="仿宋" w:cs="Times New Roman"/>
          <w:iCs/>
          <w:color w:val="000000"/>
          <w:sz w:val="24"/>
          <w:szCs w:val="24"/>
        </w:rPr>
        <w:t>，</w:t>
      </w:r>
      <w:r>
        <w:rPr>
          <w:rFonts w:hint="default" w:ascii="Times New Roman" w:hAnsi="Times New Roman" w:eastAsia="仿宋_GB2312" w:cs="Times New Roman"/>
          <w:iCs/>
          <w:color w:val="000000"/>
          <w:sz w:val="32"/>
          <w:szCs w:val="32"/>
        </w:rPr>
        <w:t>统计单元为建成区。</w:t>
      </w:r>
    </w:p>
    <w:p w14:paraId="4ED5C37D">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09CE9B91">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官方统计数据、行业部门填报数据。</w:t>
      </w:r>
    </w:p>
    <w:p w14:paraId="42637776">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【参考标准】</w:t>
      </w:r>
    </w:p>
    <w:p w14:paraId="2F5B6C51">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≥2.6平方米/人。根据《“十四五”公共服务规划》《“十四五”体育发展规划》中提出的目标确定。根据国家“十四五”相关规划确定2025年全国平均水平应大于2.6平方米/人。</w:t>
      </w:r>
    </w:p>
    <w:p w14:paraId="6765670F">
      <w:pPr>
        <w:spacing w:line="360" w:lineRule="auto"/>
        <w:rPr>
          <w:rFonts w:hint="default" w:ascii="Times New Roman" w:hAnsi="Times New Roman" w:eastAsia="仿宋_GB2312" w:cs="Times New Roman"/>
          <w:spacing w:val="4"/>
          <w:sz w:val="32"/>
          <w:szCs w:val="32"/>
        </w:rPr>
      </w:pPr>
    </w:p>
    <w:p w14:paraId="45C9F5C7">
      <w:pPr>
        <w:spacing w:line="360" w:lineRule="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指标36：</w:t>
      </w:r>
      <w:r>
        <w:rPr>
          <w:rFonts w:hint="default" w:ascii="Times New Roman" w:hAnsi="Times New Roman" w:eastAsia="仿宋_GB2312" w:cs="Times New Roman"/>
          <w:b/>
          <w:bCs/>
          <w:spacing w:val="3"/>
          <w:sz w:val="32"/>
          <w:szCs w:val="32"/>
        </w:rPr>
        <w:t>人</w:t>
      </w:r>
      <w:r>
        <w:rPr>
          <w:rFonts w:hint="default" w:ascii="Times New Roman" w:hAnsi="Times New Roman" w:eastAsia="仿宋_GB2312" w:cs="Times New Roman"/>
          <w:b/>
          <w:bCs/>
          <w:spacing w:val="2"/>
          <w:sz w:val="32"/>
          <w:szCs w:val="32"/>
        </w:rPr>
        <w:t>均公共文化设施面积（平方米/人）</w:t>
      </w:r>
    </w:p>
    <w:p w14:paraId="416FCC17">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75735B8D">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按照人均公共文化设施面积达到0.2平方米的目标，调查市辖区建成区内常住人口人均拥有的公共文化设施面积情况，查找城市公共文化设施、服务体系等方面的差距和问题。</w:t>
      </w:r>
    </w:p>
    <w:p w14:paraId="0F82487B">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【计算方式】</w:t>
      </w:r>
    </w:p>
    <w:p w14:paraId="1F1B94C7">
      <w:pPr>
        <w:spacing w:line="360" w:lineRule="auto"/>
        <w:jc w:val="center"/>
        <w:rPr>
          <w:rFonts w:hint="default" w:ascii="Times New Roman" w:hAnsi="Times New Roman" w:eastAsia="仿宋_GB2312" w:cs="Times New Roman"/>
          <w:iCs/>
          <w:color w:val="000000"/>
          <w:sz w:val="32"/>
          <w:szCs w:val="32"/>
        </w:rPr>
      </w:pPr>
      <m:oMath>
        <m:f>
          <m:fPr>
            <m:ctrlPr>
              <w:rPr>
                <w:rFonts w:hint="default" w:ascii="Cambria Math" w:hAnsi="Cambria Math" w:eastAsia="仿宋" w:cs="Times New Roman"/>
                <w:iCs/>
                <w:color w:val="000000"/>
                <w:sz w:val="24"/>
                <w:szCs w:val="24"/>
              </w:rPr>
            </m:ctrlPr>
          </m:fPr>
          <m:num>
            <m:r>
              <m:rPr>
                <m:sty m:val="p"/>
              </m:rPr>
              <w:rPr>
                <w:rFonts w:hint="default" w:ascii="Cambria Math" w:hAnsi="Cambria Math" w:eastAsia="仿宋" w:cs="Times New Roman"/>
                <w:color w:val="000000"/>
                <w:sz w:val="24"/>
                <w:szCs w:val="24"/>
              </w:rPr>
              <m:t>市辖区内文化建筑总建筑面积</m:t>
            </m:r>
            <m:ctrlPr>
              <w:rPr>
                <w:rFonts w:hint="default" w:ascii="Cambria Math" w:hAnsi="Cambria Math" w:eastAsia="仿宋" w:cs="Times New Roman"/>
                <w:iCs/>
                <w:color w:val="000000"/>
                <w:sz w:val="24"/>
                <w:szCs w:val="24"/>
              </w:rPr>
            </m:ctrlPr>
          </m:num>
          <m:den>
            <m:r>
              <m:rPr>
                <m:sty m:val="p"/>
              </m:rPr>
              <w:rPr>
                <w:rFonts w:hint="default" w:ascii="Cambria Math" w:hAnsi="Cambria Math" w:eastAsia="仿宋" w:cs="Times New Roman"/>
                <w:color w:val="000000"/>
                <w:sz w:val="24"/>
                <w:szCs w:val="24"/>
              </w:rPr>
              <m:t>市辖区常住人口</m:t>
            </m:r>
            <m:ctrlPr>
              <w:rPr>
                <w:rFonts w:hint="default" w:ascii="Cambria Math" w:hAnsi="Cambria Math" w:eastAsia="仿宋" w:cs="Times New Roman"/>
                <w:iCs/>
                <w:color w:val="000000"/>
                <w:sz w:val="24"/>
                <w:szCs w:val="24"/>
              </w:rPr>
            </m:ctrlPr>
          </m:den>
        </m:f>
      </m:oMath>
      <w:r>
        <w:rPr>
          <w:rFonts w:hint="default" w:ascii="Times New Roman" w:hAnsi="Times New Roman" w:eastAsia="仿宋" w:cs="Times New Roman"/>
          <w:iCs/>
          <w:color w:val="000000"/>
          <w:sz w:val="24"/>
          <w:szCs w:val="24"/>
        </w:rPr>
        <w:t>，</w:t>
      </w:r>
      <w:r>
        <w:rPr>
          <w:rFonts w:hint="default" w:ascii="Times New Roman" w:hAnsi="Times New Roman" w:eastAsia="仿宋_GB2312" w:cs="Times New Roman"/>
          <w:iCs/>
          <w:color w:val="000000"/>
          <w:sz w:val="32"/>
          <w:szCs w:val="32"/>
        </w:rPr>
        <w:t>统计单元为市辖区。</w:t>
      </w:r>
    </w:p>
    <w:p w14:paraId="25C9DBA5">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19D17475">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官方统计数据、行业部门填报数据。</w:t>
      </w:r>
    </w:p>
    <w:p w14:paraId="77C0AA0D">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【参考标准】</w:t>
      </w:r>
    </w:p>
    <w:p w14:paraId="7371AC84">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≥0.2平方米/人。（1）根据北京、上海、成都等城市“十四五”规划目标综合确定。对于超特大城市不应低于2000平方米/万人，其它城市不应低于1500平方米/万人。（2</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2022年城市自体检上报数据平均为1776.5平方米/万人，其中超大、特大城市平均为2006.7平方米/万人，其他城市平均为1671.3平方米/万人。</w:t>
      </w:r>
    </w:p>
    <w:p w14:paraId="2D758E10">
      <w:pPr>
        <w:pStyle w:val="2"/>
        <w:rPr>
          <w:rFonts w:hint="default" w:ascii="Times New Roman" w:hAnsi="Times New Roman" w:eastAsia="仿宋_GB2312" w:cs="Times New Roman"/>
          <w:sz w:val="32"/>
          <w:szCs w:val="32"/>
        </w:rPr>
      </w:pPr>
    </w:p>
    <w:p w14:paraId="1D9AE04E">
      <w:pPr>
        <w:spacing w:line="360" w:lineRule="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w:t>
      </w:r>
      <w:r>
        <w:rPr>
          <w:rFonts w:hint="default" w:ascii="Times New Roman" w:hAnsi="Times New Roman" w:eastAsia="仿宋_GB2312" w:cs="Times New Roman"/>
          <w:b/>
          <w:bCs/>
          <w:spacing w:val="3"/>
          <w:sz w:val="32"/>
          <w:szCs w:val="32"/>
        </w:rPr>
        <w:t>标</w:t>
      </w:r>
      <w:r>
        <w:rPr>
          <w:rFonts w:hint="default" w:ascii="Times New Roman" w:hAnsi="Times New Roman" w:eastAsia="仿宋_GB2312" w:cs="Times New Roman"/>
          <w:b/>
          <w:bCs/>
          <w:spacing w:val="2"/>
          <w:sz w:val="32"/>
          <w:szCs w:val="32"/>
        </w:rPr>
        <w:t>37：未达标配建的妇幼保健机构数量（个）</w:t>
      </w:r>
    </w:p>
    <w:p w14:paraId="66A72556">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5F6DF66E">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中国妇女发展纲要（2021-2030年）》《中国儿童发展纲要（2021-2030年）》要求，调查市辖区内没有配建妇幼保健机构或建设规模不达标的妇幼保健机构数量，查找城市妇幼保健机构建设规模不充足、服务体系不健全等方面的问题。</w:t>
      </w:r>
    </w:p>
    <w:p w14:paraId="0E43A80F">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【计算方式】</w:t>
      </w:r>
    </w:p>
    <w:p w14:paraId="5BCDAA00">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没有按照《2021-2030年中国妇女儿童发展纲要》要求建设或建设规模不符合《妇幼健康服务机构建设标准》的妇幼保健机构数量，计算单元为建成区，由各市辖区统计后汇总。</w:t>
      </w:r>
    </w:p>
    <w:p w14:paraId="5A50A670">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2C224F94">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官方统计数据、行业部门填报数据。</w:t>
      </w:r>
    </w:p>
    <w:p w14:paraId="44A531BC">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【参考标准】</w:t>
      </w:r>
    </w:p>
    <w:p w14:paraId="5A60FEF3">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根据中共中央办公厅国务院办公厅印发《关于进一步完善医疗卫生服务体系的意见》；卫健委《关于贯彻2021-2030年中国妇女儿童发展纲要的实施方案》，省、市、县三级均各设置1所政府举办、标准化的妇幼保健机构。</w:t>
      </w:r>
    </w:p>
    <w:p w14:paraId="33DA5C50">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（2）建设标准需满足住房和城乡建设部、国家发展改革委《妇幼健康服务机构建设标准》</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建标〔2017〕248号</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文件中相关规定。</w:t>
      </w:r>
    </w:p>
    <w:p w14:paraId="66767605">
      <w:pPr>
        <w:pStyle w:val="2"/>
        <w:ind w:firstLine="480"/>
        <w:rPr>
          <w:rFonts w:hint="default" w:ascii="Times New Roman" w:hAnsi="Times New Roman" w:eastAsia="仿宋_GB2312" w:cs="Times New Roman"/>
          <w:sz w:val="32"/>
          <w:szCs w:val="32"/>
        </w:rPr>
      </w:pPr>
    </w:p>
    <w:p w14:paraId="11D7B11B">
      <w:pPr>
        <w:spacing w:line="360" w:lineRule="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指标</w:t>
      </w:r>
      <w:r>
        <w:rPr>
          <w:rFonts w:hint="default" w:ascii="Times New Roman" w:hAnsi="Times New Roman" w:eastAsia="仿宋_GB2312" w:cs="Times New Roman"/>
          <w:b/>
          <w:bCs/>
          <w:spacing w:val="3"/>
          <w:sz w:val="32"/>
          <w:szCs w:val="32"/>
        </w:rPr>
        <w:t>3</w:t>
      </w:r>
      <w:r>
        <w:rPr>
          <w:rFonts w:hint="default" w:ascii="Times New Roman" w:hAnsi="Times New Roman" w:eastAsia="仿宋_GB2312" w:cs="Times New Roman"/>
          <w:b/>
          <w:bCs/>
          <w:spacing w:val="2"/>
          <w:sz w:val="32"/>
          <w:szCs w:val="32"/>
        </w:rPr>
        <w:t>8：城市道路网密度（公里/平方公里）</w:t>
      </w:r>
    </w:p>
    <w:p w14:paraId="1E9A4254">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6DEAB886">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按照道路网密度达到8公里/平方公里的目标，调查分析市辖区建成区内城市道路长度（包括快速路、主干路、次干路及支路）与建成区面积的比值，查找城市综合交通体系建设方面存在的差距和问题。</w:t>
      </w:r>
    </w:p>
    <w:p w14:paraId="42140066">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【计算方式】</w:t>
      </w:r>
    </w:p>
    <w:p w14:paraId="5E489B85">
      <w:pPr>
        <w:spacing w:line="360" w:lineRule="auto"/>
        <w:ind w:firstLine="480" w:firstLineChars="200"/>
        <w:rPr>
          <w:rFonts w:hint="default" w:ascii="Times New Roman" w:hAnsi="Times New Roman" w:eastAsia="仿宋_GB2312" w:cs="Times New Roman"/>
          <w:iCs/>
          <w:color w:val="000000"/>
          <w:sz w:val="32"/>
          <w:szCs w:val="32"/>
        </w:rPr>
      </w:pPr>
      <m:oMath>
        <m:f>
          <m:fPr>
            <m:ctrlPr>
              <w:rPr>
                <w:rFonts w:hint="default" w:ascii="Cambria Math" w:hAnsi="Cambria Math" w:eastAsia="仿宋" w:cs="Times New Roman"/>
                <w:iCs/>
                <w:color w:val="000000"/>
                <w:sz w:val="24"/>
                <w:szCs w:val="24"/>
              </w:rPr>
            </m:ctrlPr>
          </m:fPr>
          <m:num>
            <m:r>
              <m:rPr>
                <m:sty m:val="p"/>
              </m:rPr>
              <w:rPr>
                <w:rFonts w:hint="default" w:ascii="Cambria Math" w:hAnsi="Cambria Math" w:eastAsia="仿宋" w:cs="Times New Roman"/>
                <w:color w:val="000000"/>
                <w:sz w:val="24"/>
                <w:szCs w:val="24"/>
              </w:rPr>
              <m:t>市辖区建成区内快速路、主干路、次干路、支路长度之和</m:t>
            </m:r>
            <m:ctrlPr>
              <w:rPr>
                <w:rFonts w:hint="default" w:ascii="Cambria Math" w:hAnsi="Cambria Math" w:eastAsia="仿宋" w:cs="Times New Roman"/>
                <w:iCs/>
                <w:color w:val="000000"/>
                <w:sz w:val="24"/>
                <w:szCs w:val="24"/>
              </w:rPr>
            </m:ctrlPr>
          </m:num>
          <m:den>
            <m:r>
              <m:rPr>
                <m:sty m:val="p"/>
              </m:rPr>
              <w:rPr>
                <w:rFonts w:hint="default" w:ascii="Cambria Math" w:hAnsi="Cambria Math" w:eastAsia="仿宋" w:cs="Times New Roman"/>
                <w:color w:val="000000"/>
                <w:sz w:val="24"/>
                <w:szCs w:val="24"/>
              </w:rPr>
              <m:t>市辖区建成区面积</m:t>
            </m:r>
            <m:ctrlPr>
              <w:rPr>
                <w:rFonts w:hint="default" w:ascii="Cambria Math" w:hAnsi="Cambria Math" w:eastAsia="仿宋" w:cs="Times New Roman"/>
                <w:iCs/>
                <w:color w:val="000000"/>
                <w:sz w:val="24"/>
                <w:szCs w:val="24"/>
              </w:rPr>
            </m:ctrlPr>
          </m:den>
        </m:f>
      </m:oMath>
      <w:r>
        <w:rPr>
          <w:rFonts w:hint="default" w:ascii="Times New Roman" w:hAnsi="Times New Roman" w:eastAsia="仿宋" w:cs="Times New Roman"/>
          <w:iCs/>
          <w:color w:val="000000"/>
          <w:sz w:val="24"/>
          <w:szCs w:val="24"/>
        </w:rPr>
        <w:t>，</w:t>
      </w:r>
      <w:r>
        <w:rPr>
          <w:rFonts w:hint="default" w:ascii="Times New Roman" w:hAnsi="Times New Roman" w:eastAsia="仿宋_GB2312" w:cs="Times New Roman"/>
          <w:iCs/>
          <w:color w:val="000000"/>
          <w:sz w:val="32"/>
          <w:szCs w:val="32"/>
        </w:rPr>
        <w:t>计算单元为建成区，由各市辖区统计后汇总。</w:t>
      </w:r>
    </w:p>
    <w:p w14:paraId="5037848F">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4A5642F9">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行业部门填报数据、商业大数据、遥感数据测算。</w:t>
      </w:r>
    </w:p>
    <w:p w14:paraId="65F62338">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【参考标准】</w:t>
      </w:r>
    </w:p>
    <w:p w14:paraId="52B288FB">
      <w:pPr>
        <w:spacing w:line="360" w:lineRule="auto"/>
        <w:ind w:firstLine="58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pacing w:val="-15"/>
          <w:sz w:val="32"/>
          <w:szCs w:val="32"/>
        </w:rPr>
        <w:t>≥</w:t>
      </w:r>
      <w:r>
        <w:rPr>
          <w:rFonts w:hint="default" w:ascii="Times New Roman" w:hAnsi="Times New Roman" w:eastAsia="仿宋_GB2312" w:cs="Times New Roman"/>
          <w:spacing w:val="-9"/>
          <w:sz w:val="32"/>
          <w:szCs w:val="32"/>
        </w:rPr>
        <w:t>8公里/平方公里。</w:t>
      </w:r>
    </w:p>
    <w:p w14:paraId="588F291B">
      <w:pPr>
        <w:spacing w:line="360" w:lineRule="auto"/>
        <w:ind w:firstLine="559"/>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（1）《中共中央国务院关于进一步加强城市规划建设管理工</w:t>
      </w:r>
      <w:r>
        <w:rPr>
          <w:rFonts w:hint="default" w:ascii="Times New Roman" w:hAnsi="Times New Roman" w:eastAsia="仿宋_GB2312" w:cs="Times New Roman"/>
          <w:sz w:val="32"/>
          <w:szCs w:val="32"/>
        </w:rPr>
        <w:t>作的</w:t>
      </w:r>
      <w:r>
        <w:rPr>
          <w:rFonts w:hint="default" w:ascii="Times New Roman" w:hAnsi="Times New Roman" w:eastAsia="仿宋_GB2312" w:cs="Times New Roman"/>
          <w:spacing w:val="-12"/>
          <w:sz w:val="32"/>
          <w:szCs w:val="32"/>
        </w:rPr>
        <w:t>若</w:t>
      </w:r>
      <w:r>
        <w:rPr>
          <w:rFonts w:hint="default" w:ascii="Times New Roman" w:hAnsi="Times New Roman" w:eastAsia="仿宋_GB2312" w:cs="Times New Roman"/>
          <w:spacing w:val="-7"/>
          <w:sz w:val="32"/>
          <w:szCs w:val="32"/>
        </w:rPr>
        <w:t>干意见》提出：到2020年，城市建成区平均道路网密度提高到8</w:t>
      </w:r>
      <w:r>
        <w:rPr>
          <w:rFonts w:hint="default" w:ascii="Times New Roman" w:hAnsi="Times New Roman" w:eastAsia="仿宋_GB2312" w:cs="Times New Roman"/>
          <w:spacing w:val="-8"/>
          <w:sz w:val="32"/>
          <w:szCs w:val="32"/>
        </w:rPr>
        <w:t>公</w:t>
      </w:r>
      <w:r>
        <w:rPr>
          <w:rFonts w:hint="default" w:ascii="Times New Roman" w:hAnsi="Times New Roman" w:eastAsia="仿宋_GB2312" w:cs="Times New Roman"/>
          <w:spacing w:val="-7"/>
          <w:sz w:val="32"/>
          <w:szCs w:val="32"/>
        </w:rPr>
        <w:t>里</w:t>
      </w:r>
      <w:r>
        <w:rPr>
          <w:rFonts w:hint="default" w:ascii="Times New Roman" w:hAnsi="Times New Roman" w:eastAsia="仿宋_GB2312" w:cs="Times New Roman"/>
          <w:spacing w:val="-4"/>
          <w:sz w:val="32"/>
          <w:szCs w:val="32"/>
        </w:rPr>
        <w:t>/平方公里，道路面积率达到15%。</w:t>
      </w:r>
    </w:p>
    <w:p w14:paraId="64848BCF">
      <w:pPr>
        <w:spacing w:line="360" w:lineRule="auto"/>
        <w:ind w:firstLine="650" w:firstLineChars="202"/>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（2）根据2022年度监测数据，深圳（9.7</w:t>
      </w:r>
      <w:r>
        <w:rPr>
          <w:rFonts w:hint="eastAsia" w:ascii="Times New Roman" w:hAnsi="Times New Roman" w:eastAsia="仿宋_GB2312" w:cs="Times New Roman"/>
          <w:spacing w:val="1"/>
          <w:sz w:val="32"/>
          <w:szCs w:val="32"/>
          <w:lang w:eastAsia="zh-CN"/>
        </w:rPr>
        <w:t>）</w:t>
      </w:r>
      <w:r>
        <w:rPr>
          <w:rFonts w:hint="default" w:ascii="Times New Roman" w:hAnsi="Times New Roman" w:eastAsia="仿宋_GB2312" w:cs="Times New Roman"/>
          <w:spacing w:val="1"/>
          <w:sz w:val="32"/>
          <w:szCs w:val="32"/>
        </w:rPr>
        <w:t>、厦门（8</w:t>
      </w:r>
      <w:r>
        <w:rPr>
          <w:rFonts w:hint="default" w:ascii="Times New Roman" w:hAnsi="Times New Roman" w:eastAsia="仿宋_GB2312" w:cs="Times New Roman"/>
          <w:sz w:val="32"/>
          <w:szCs w:val="32"/>
        </w:rPr>
        <w:t>.6</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、成都（</w:t>
      </w:r>
      <w:r>
        <w:rPr>
          <w:rFonts w:hint="default" w:ascii="Times New Roman" w:hAnsi="Times New Roman" w:eastAsia="仿宋_GB2312" w:cs="Times New Roman"/>
          <w:spacing w:val="1"/>
          <w:sz w:val="32"/>
          <w:szCs w:val="32"/>
        </w:rPr>
        <w:t>8.4）三城市达到中央城市工作会议提出的8公里/平方公</w:t>
      </w:r>
      <w:r>
        <w:rPr>
          <w:rFonts w:hint="default" w:ascii="Times New Roman" w:hAnsi="Times New Roman" w:eastAsia="仿宋_GB2312" w:cs="Times New Roman"/>
          <w:sz w:val="32"/>
          <w:szCs w:val="32"/>
        </w:rPr>
        <w:t>里的目标</w:t>
      </w:r>
      <w:r>
        <w:rPr>
          <w:rFonts w:hint="default" w:ascii="Times New Roman" w:hAnsi="Times New Roman" w:eastAsia="仿宋_GB2312" w:cs="Times New Roman"/>
          <w:spacing w:val="-28"/>
          <w:sz w:val="32"/>
          <w:szCs w:val="32"/>
        </w:rPr>
        <w:t>要</w:t>
      </w:r>
      <w:r>
        <w:rPr>
          <w:rFonts w:hint="default" w:ascii="Times New Roman" w:hAnsi="Times New Roman" w:eastAsia="仿宋_GB2312" w:cs="Times New Roman"/>
          <w:spacing w:val="-25"/>
          <w:sz w:val="32"/>
          <w:szCs w:val="32"/>
        </w:rPr>
        <w:t>求</w:t>
      </w:r>
      <w:r>
        <w:rPr>
          <w:rFonts w:hint="default" w:ascii="Times New Roman" w:hAnsi="Times New Roman" w:eastAsia="仿宋_GB2312" w:cs="Times New Roman"/>
          <w:spacing w:val="-14"/>
          <w:sz w:val="32"/>
          <w:szCs w:val="32"/>
        </w:rPr>
        <w:t>，上海、福州、南宁、杭州、广州等10座城市达到7公里/平方</w:t>
      </w:r>
      <w:r>
        <w:rPr>
          <w:rFonts w:hint="default" w:ascii="Times New Roman" w:hAnsi="Times New Roman" w:eastAsia="仿宋_GB2312" w:cs="Times New Roman"/>
          <w:spacing w:val="-28"/>
          <w:sz w:val="32"/>
          <w:szCs w:val="32"/>
        </w:rPr>
        <w:t>公</w:t>
      </w:r>
      <w:r>
        <w:rPr>
          <w:rFonts w:hint="default" w:ascii="Times New Roman" w:hAnsi="Times New Roman" w:eastAsia="仿宋_GB2312" w:cs="Times New Roman"/>
          <w:spacing w:val="-16"/>
          <w:sz w:val="32"/>
          <w:szCs w:val="32"/>
        </w:rPr>
        <w:t>里</w:t>
      </w:r>
      <w:r>
        <w:rPr>
          <w:rFonts w:hint="default" w:ascii="Times New Roman" w:hAnsi="Times New Roman" w:eastAsia="仿宋_GB2312" w:cs="Times New Roman"/>
          <w:spacing w:val="-14"/>
          <w:sz w:val="32"/>
          <w:szCs w:val="32"/>
        </w:rPr>
        <w:t>以上。同时，全国36个主要城市道路网平均密度由2018年度的</w:t>
      </w:r>
      <w:r>
        <w:rPr>
          <w:rFonts w:hint="default" w:ascii="Times New Roman" w:hAnsi="Times New Roman" w:eastAsia="仿宋_GB2312" w:cs="Times New Roman"/>
          <w:spacing w:val="-10"/>
          <w:sz w:val="32"/>
          <w:szCs w:val="32"/>
        </w:rPr>
        <w:t>5.9公里/平方公里增长至2022年度的6.3公里/平方公里。</w:t>
      </w:r>
    </w:p>
    <w:p w14:paraId="469E2EA5">
      <w:pPr>
        <w:spacing w:line="360" w:lineRule="auto"/>
        <w:ind w:firstLine="557"/>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（3）根据国内外现有研究资料与数据，国外发达城市</w:t>
      </w:r>
      <w:r>
        <w:rPr>
          <w:rFonts w:hint="default" w:ascii="Times New Roman" w:hAnsi="Times New Roman" w:eastAsia="仿宋_GB2312" w:cs="Times New Roman"/>
          <w:sz w:val="32"/>
          <w:szCs w:val="32"/>
        </w:rPr>
        <w:t>如巴塞罗</w:t>
      </w:r>
      <w:r>
        <w:rPr>
          <w:rFonts w:hint="default" w:ascii="Times New Roman" w:hAnsi="Times New Roman" w:eastAsia="仿宋_GB2312" w:cs="Times New Roman"/>
          <w:spacing w:val="8"/>
          <w:sz w:val="32"/>
          <w:szCs w:val="32"/>
        </w:rPr>
        <w:t>那（14.</w:t>
      </w:r>
      <w:r>
        <w:rPr>
          <w:rFonts w:hint="default" w:ascii="Times New Roman" w:hAnsi="Times New Roman" w:eastAsia="仿宋_GB2312" w:cs="Times New Roman"/>
          <w:spacing w:val="4"/>
          <w:sz w:val="32"/>
          <w:szCs w:val="32"/>
        </w:rPr>
        <w:t>7公里/平方公里）、柏林（12.5公里/平方公里）、纽约曼哈</w:t>
      </w:r>
      <w:r>
        <w:rPr>
          <w:rFonts w:hint="default" w:ascii="Times New Roman" w:hAnsi="Times New Roman" w:eastAsia="仿宋_GB2312" w:cs="Times New Roman"/>
          <w:spacing w:val="8"/>
          <w:sz w:val="32"/>
          <w:szCs w:val="32"/>
        </w:rPr>
        <w:t>顿</w:t>
      </w:r>
      <w:r>
        <w:rPr>
          <w:rFonts w:hint="default" w:ascii="Times New Roman" w:hAnsi="Times New Roman" w:eastAsia="仿宋_GB2312" w:cs="Times New Roman"/>
          <w:spacing w:val="5"/>
          <w:sz w:val="32"/>
          <w:szCs w:val="32"/>
        </w:rPr>
        <w:t>地</w:t>
      </w:r>
      <w:r>
        <w:rPr>
          <w:rFonts w:hint="default" w:ascii="Times New Roman" w:hAnsi="Times New Roman" w:eastAsia="仿宋_GB2312" w:cs="Times New Roman"/>
          <w:spacing w:val="4"/>
          <w:sz w:val="32"/>
          <w:szCs w:val="32"/>
        </w:rPr>
        <w:t>区（13.1</w:t>
      </w:r>
      <w:r>
        <w:rPr>
          <w:rFonts w:hint="default" w:ascii="Times New Roman" w:hAnsi="Times New Roman" w:eastAsia="仿宋_GB2312" w:cs="Times New Roman"/>
          <w:sz w:val="32"/>
          <w:szCs w:val="32"/>
        </w:rPr>
        <w:t>k</w:t>
      </w:r>
      <w:r>
        <w:rPr>
          <w:rFonts w:hint="default" w:ascii="Times New Roman" w:hAnsi="Times New Roman" w:eastAsia="仿宋_GB2312" w:cs="Times New Roman"/>
          <w:spacing w:val="4"/>
          <w:sz w:val="32"/>
          <w:szCs w:val="32"/>
        </w:rPr>
        <w:t>公里/平方公里）、东京（18.4公里/平方公里）等，</w:t>
      </w:r>
      <w:r>
        <w:rPr>
          <w:rFonts w:hint="default" w:ascii="Times New Roman" w:hAnsi="Times New Roman" w:eastAsia="仿宋_GB2312" w:cs="Times New Roman"/>
          <w:spacing w:val="-2"/>
          <w:sz w:val="32"/>
          <w:szCs w:val="32"/>
        </w:rPr>
        <w:t>普遍具备较高</w:t>
      </w:r>
      <w:r>
        <w:rPr>
          <w:rFonts w:hint="default" w:ascii="Times New Roman" w:hAnsi="Times New Roman" w:eastAsia="仿宋_GB2312" w:cs="Times New Roman"/>
          <w:spacing w:val="-1"/>
          <w:sz w:val="32"/>
          <w:szCs w:val="32"/>
        </w:rPr>
        <w:t>的道路网密度。</w:t>
      </w:r>
    </w:p>
    <w:p w14:paraId="4334AD15">
      <w:pPr>
        <w:pStyle w:val="2"/>
        <w:ind w:firstLine="480"/>
        <w:rPr>
          <w:rFonts w:hint="default" w:ascii="Times New Roman" w:hAnsi="Times New Roman" w:eastAsia="仿宋_GB2312" w:cs="Times New Roman"/>
          <w:sz w:val="32"/>
          <w:szCs w:val="32"/>
        </w:rPr>
      </w:pPr>
    </w:p>
    <w:p w14:paraId="15A1E03F">
      <w:pPr>
        <w:spacing w:line="360" w:lineRule="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指标39：新建建筑中绿色建筑占比（%</w:t>
      </w:r>
      <w:r>
        <w:rPr>
          <w:rFonts w:hint="default" w:ascii="Times New Roman" w:hAnsi="Times New Roman" w:eastAsia="仿宋_GB2312" w:cs="Times New Roman"/>
          <w:b/>
          <w:bCs/>
          <w:sz w:val="32"/>
          <w:szCs w:val="32"/>
        </w:rPr>
        <w:t>）</w:t>
      </w:r>
    </w:p>
    <w:p w14:paraId="047CE0F5">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2E183604">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按照到2025年新建建筑中绿色建筑占比达到100%的目标，调查分析当年市辖区内竣工绿色建筑面积占竣工建筑总面积的百分比，查找城市绿色建筑发展方面存在的差距和问题。</w:t>
      </w:r>
    </w:p>
    <w:p w14:paraId="7A392C48">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【计算方式】</w:t>
      </w:r>
    </w:p>
    <w:p w14:paraId="639602E9">
      <w:pPr>
        <w:spacing w:line="360" w:lineRule="auto"/>
        <w:ind w:firstLine="480" w:firstLineChars="200"/>
        <w:rPr>
          <w:rFonts w:hint="default" w:ascii="Times New Roman" w:hAnsi="Times New Roman" w:eastAsia="仿宋_GB2312" w:cs="Times New Roman"/>
          <w:iCs/>
          <w:color w:val="000000"/>
          <w:sz w:val="32"/>
          <w:szCs w:val="32"/>
        </w:rPr>
      </w:pPr>
      <m:oMath>
        <m:f>
          <m:fPr>
            <m:ctrlPr>
              <w:rPr>
                <w:rFonts w:hint="default" w:ascii="Cambria Math" w:hAnsi="Cambria Math" w:eastAsia="仿宋" w:cs="Times New Roman"/>
                <w:iCs/>
                <w:color w:val="000000"/>
                <w:sz w:val="24"/>
                <w:szCs w:val="24"/>
              </w:rPr>
            </m:ctrlPr>
          </m:fPr>
          <m:num>
            <m:r>
              <m:rPr>
                <m:sty m:val="p"/>
              </m:rPr>
              <w:rPr>
                <w:rFonts w:hint="default" w:ascii="Cambria Math" w:hAnsi="Cambria Math" w:eastAsia="仿宋" w:cs="Times New Roman"/>
                <w:color w:val="000000"/>
                <w:sz w:val="24"/>
                <w:szCs w:val="24"/>
              </w:rPr>
              <m:t>当年市辖区竣工的绿色建筑面积</m:t>
            </m:r>
            <m:ctrlPr>
              <w:rPr>
                <w:rFonts w:hint="default" w:ascii="Cambria Math" w:hAnsi="Cambria Math" w:eastAsia="仿宋" w:cs="Times New Roman"/>
                <w:iCs/>
                <w:color w:val="000000"/>
                <w:sz w:val="24"/>
                <w:szCs w:val="24"/>
              </w:rPr>
            </m:ctrlPr>
          </m:num>
          <m:den>
            <m:r>
              <m:rPr>
                <m:sty m:val="p"/>
              </m:rPr>
              <w:rPr>
                <w:rFonts w:hint="default" w:ascii="Cambria Math" w:hAnsi="Cambria Math" w:eastAsia="仿宋" w:cs="Times New Roman"/>
                <w:color w:val="000000"/>
                <w:sz w:val="24"/>
                <w:szCs w:val="24"/>
              </w:rPr>
              <m:t>当年市辖区竣工的建筑总面积</m:t>
            </m:r>
            <m:ctrlPr>
              <w:rPr>
                <w:rFonts w:hint="default" w:ascii="Cambria Math" w:hAnsi="Cambria Math" w:eastAsia="仿宋" w:cs="Times New Roman"/>
                <w:iCs/>
                <w:color w:val="000000"/>
                <w:sz w:val="24"/>
                <w:szCs w:val="24"/>
              </w:rPr>
            </m:ctrlPr>
          </m:den>
        </m:f>
      </m:oMath>
      <w:r>
        <w:rPr>
          <w:rFonts w:hint="default" w:ascii="Times New Roman" w:hAnsi="Times New Roman" w:eastAsia="仿宋" w:cs="Times New Roman"/>
          <w:iCs/>
          <w:color w:val="000000"/>
          <w:sz w:val="24"/>
          <w:szCs w:val="24"/>
        </w:rPr>
        <w:t>，</w:t>
      </w:r>
      <w:r>
        <w:rPr>
          <w:rFonts w:hint="default" w:ascii="Times New Roman" w:hAnsi="Times New Roman" w:eastAsia="仿宋_GB2312" w:cs="Times New Roman"/>
          <w:iCs/>
          <w:color w:val="000000"/>
          <w:sz w:val="32"/>
          <w:szCs w:val="32"/>
        </w:rPr>
        <w:t>计算单元为市辖区，由各市辖区统计后汇总。</w:t>
      </w:r>
    </w:p>
    <w:p w14:paraId="02E98BBC">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12C3BEA2">
      <w:pPr>
        <w:spacing w:line="360" w:lineRule="auto"/>
        <w:ind w:firstLine="640" w:firstLineChars="200"/>
        <w:jc w:val="left"/>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官方统计数据、行业部门填报数据。</w:t>
      </w:r>
    </w:p>
    <w:p w14:paraId="7A07366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【参考标准】</w:t>
      </w:r>
    </w:p>
    <w:p w14:paraId="73D7F486">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每年提高5个百分点；2025年达到100%。</w:t>
      </w:r>
    </w:p>
    <w:p w14:paraId="559DF975">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（1）根据《“十四五”建筑节能与绿色建筑发展规划》，截至2020年底，城镇当年新建绿色建筑占新建建筑比例为77%。2022年城市体检结果显示，59个样本城市新建建筑中绿色建筑占比平均值为85.93%。</w:t>
      </w:r>
    </w:p>
    <w:p w14:paraId="60EF4BE1">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Cs/>
          <w:color w:val="000000"/>
          <w:sz w:val="32"/>
          <w:szCs w:val="32"/>
        </w:rPr>
        <w:t>（2）《城乡建设领域碳达峰实施方案》提出，持续开展绿色建筑创建行动，到2025年，城镇新建建筑全面执行绿色建筑标准，星级绿色建筑占比达到30%以上，新建政府投资公益性公共建筑和大型公共建筑全部达到一星级以上。</w:t>
      </w:r>
    </w:p>
    <w:p w14:paraId="548DAB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6"/>
          <w:sz w:val="32"/>
          <w:szCs w:val="32"/>
        </w:rPr>
        <w:t>指</w:t>
      </w:r>
      <w:r>
        <w:rPr>
          <w:rFonts w:hint="default" w:ascii="Times New Roman" w:hAnsi="Times New Roman" w:eastAsia="仿宋_GB2312" w:cs="Times New Roman"/>
          <w:b/>
          <w:bCs/>
          <w:spacing w:val="5"/>
          <w:sz w:val="32"/>
          <w:szCs w:val="32"/>
        </w:rPr>
        <w:t>标</w:t>
      </w:r>
      <w:r>
        <w:rPr>
          <w:rFonts w:hint="default" w:ascii="Times New Roman" w:hAnsi="Times New Roman" w:eastAsia="仿宋_GB2312" w:cs="Times New Roman"/>
          <w:b/>
          <w:bCs/>
          <w:spacing w:val="3"/>
          <w:sz w:val="32"/>
          <w:szCs w:val="32"/>
        </w:rPr>
        <w:t>40：历史文化街区、历史建筑挂牌建档率（%）</w:t>
      </w:r>
    </w:p>
    <w:p w14:paraId="7034A21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17790FE7">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历史文化街区、历史建筑挂牌建档率达到100%的目标，调查分析市辖区内完成挂牌建档的历史文化街区、历史建筑数量，占已认定并公布的历史文化街区、历史建筑总数量的百分比，查找历史文化名城、名镇、名村（传统村落）、街区、历史建筑和历史地段等各类保护对象测绘、建档、挂牌等方面存在的问题。</w:t>
      </w:r>
    </w:p>
    <w:p w14:paraId="12EF5D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【计算方式】</w:t>
      </w:r>
    </w:p>
    <w:p w14:paraId="5433614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_GB2312" w:cs="Times New Roman"/>
          <w:iCs/>
          <w:color w:val="000000"/>
          <w:sz w:val="32"/>
          <w:szCs w:val="32"/>
        </w:rPr>
      </w:pPr>
      <m:oMath>
        <m:f>
          <m:fPr>
            <m:ctrlPr>
              <w:rPr>
                <w:rFonts w:hint="default" w:ascii="Cambria Math" w:hAnsi="Cambria Math" w:eastAsia="仿宋" w:cs="Times New Roman"/>
                <w:iCs/>
                <w:color w:val="000000"/>
                <w:sz w:val="24"/>
                <w:szCs w:val="24"/>
              </w:rPr>
            </m:ctrlPr>
          </m:fPr>
          <m:num>
            <m:r>
              <m:rPr>
                <m:sty m:val="p"/>
              </m:rPr>
              <w:rPr>
                <w:rFonts w:hint="default" w:ascii="Cambria Math" w:hAnsi="Cambria Math" w:eastAsia="仿宋" w:cs="Times New Roman"/>
                <w:color w:val="000000"/>
                <w:sz w:val="24"/>
                <w:szCs w:val="24"/>
              </w:rPr>
              <m:t>市辖区内完成挂牌建档的历史文化街区、历史建筑数量</m:t>
            </m:r>
            <m:ctrlPr>
              <w:rPr>
                <w:rFonts w:hint="default" w:ascii="Cambria Math" w:hAnsi="Cambria Math" w:eastAsia="仿宋" w:cs="Times New Roman"/>
                <w:iCs/>
                <w:color w:val="000000"/>
                <w:sz w:val="24"/>
                <w:szCs w:val="24"/>
              </w:rPr>
            </m:ctrlPr>
          </m:num>
          <m:den>
            <m:r>
              <m:rPr>
                <m:sty m:val="p"/>
              </m:rPr>
              <w:rPr>
                <w:rFonts w:hint="default" w:ascii="Cambria Math" w:hAnsi="Cambria Math" w:eastAsia="仿宋" w:cs="Times New Roman"/>
                <w:color w:val="000000"/>
                <w:sz w:val="24"/>
                <w:szCs w:val="24"/>
              </w:rPr>
              <m:t>市辖区内已认定并公布的历史文化街区、历史建筑总量</m:t>
            </m:r>
            <m:ctrlPr>
              <w:rPr>
                <w:rFonts w:hint="default" w:ascii="Cambria Math" w:hAnsi="Cambria Math" w:eastAsia="仿宋" w:cs="Times New Roman"/>
                <w:iCs/>
                <w:color w:val="000000"/>
                <w:sz w:val="24"/>
                <w:szCs w:val="24"/>
              </w:rPr>
            </m:ctrlPr>
          </m:den>
        </m:f>
        <m:r>
          <m:rPr>
            <m:sty m:val="p"/>
          </m:rPr>
          <w:rPr>
            <w:rFonts w:hint="default" w:ascii="Cambria Math" w:hAnsi="Cambria Math" w:eastAsia="仿宋" w:cs="Times New Roman"/>
            <w:color w:val="000000"/>
            <w:sz w:val="24"/>
            <w:szCs w:val="24"/>
          </w:rPr>
          <m:t>×1</m:t>
        </m:r>
      </m:oMath>
      <w:r>
        <w:rPr>
          <w:rFonts w:hint="default" w:ascii="Times New Roman" w:hAnsi="Times New Roman" w:eastAsia="仿宋" w:cs="Times New Roman"/>
          <w:iCs/>
          <w:color w:val="000000"/>
          <w:sz w:val="24"/>
          <w:szCs w:val="24"/>
        </w:rPr>
        <w:t>00%，</w:t>
      </w:r>
      <w:r>
        <w:rPr>
          <w:rFonts w:hint="default" w:ascii="Times New Roman" w:hAnsi="Times New Roman" w:eastAsia="仿宋_GB2312" w:cs="Times New Roman"/>
          <w:iCs/>
          <w:color w:val="000000"/>
          <w:sz w:val="32"/>
          <w:szCs w:val="32"/>
        </w:rPr>
        <w:t>计算单元为市辖区。</w:t>
      </w:r>
    </w:p>
    <w:p w14:paraId="5F498E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7D4DACA6">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官方统计数据、行业部门填报数据。</w:t>
      </w:r>
    </w:p>
    <w:p w14:paraId="468B10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【参考标准】</w:t>
      </w:r>
    </w:p>
    <w:p w14:paraId="40948D2B">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100%。</w:t>
      </w:r>
    </w:p>
    <w:p w14:paraId="261F8DDB">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2022年城市体检59座样本城市挂牌率平均值91.82%。超特大城市中除昆明、哈尔滨外，其余城市均已达到100%；大城市中，兰州、唐山相对较低。2021年杭州市达到建档率100%，广东省为64.36%。2023年度浙江省布标设定为≧80%。</w:t>
      </w:r>
    </w:p>
    <w:p w14:paraId="2F856740">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关于在城乡建设中加强历史文化保护传承的意见》要求建立挂牌保护制度，做到应挂尽挂，历史建筑测绘建档率应达到100%。住房和城乡建设部办公厅《关于进一步加强历史文化街区和历史建筑保护工作的通知》中要求各地应于2021年底前完成所有已公布历史文化街区和历史建筑的标志牌设立工作，完成所有已公布历史建筑的测绘建档工作。</w:t>
      </w:r>
    </w:p>
    <w:p w14:paraId="6964E3A4">
      <w:pPr>
        <w:pStyle w:val="2"/>
        <w:keepNext w:val="0"/>
        <w:keepLines w:val="0"/>
        <w:pageBreakBefore w:val="0"/>
        <w:widowControl w:val="0"/>
        <w:kinsoku/>
        <w:wordWrap/>
        <w:overflowPunct/>
        <w:topLinePunct w:val="0"/>
        <w:autoSpaceDE/>
        <w:autoSpaceDN/>
        <w:bidi w:val="0"/>
        <w:adjustRightInd/>
        <w:snapToGrid/>
        <w:ind w:firstLine="480"/>
        <w:jc w:val="both"/>
        <w:textAlignment w:val="auto"/>
        <w:rPr>
          <w:rFonts w:hint="default" w:ascii="Times New Roman" w:hAnsi="Times New Roman" w:eastAsia="仿宋_GB2312" w:cs="Times New Roman"/>
          <w:sz w:val="32"/>
          <w:szCs w:val="32"/>
        </w:rPr>
      </w:pPr>
    </w:p>
    <w:p w14:paraId="2C689A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8"/>
          <w:sz w:val="32"/>
          <w:szCs w:val="32"/>
        </w:rPr>
        <w:t>指</w:t>
      </w:r>
      <w:r>
        <w:rPr>
          <w:rFonts w:hint="default" w:ascii="Times New Roman" w:hAnsi="Times New Roman" w:eastAsia="仿宋_GB2312" w:cs="Times New Roman"/>
          <w:b/>
          <w:bCs/>
          <w:spacing w:val="6"/>
          <w:sz w:val="32"/>
          <w:szCs w:val="32"/>
        </w:rPr>
        <w:t>标</w:t>
      </w:r>
      <w:r>
        <w:rPr>
          <w:rFonts w:hint="default" w:ascii="Times New Roman" w:hAnsi="Times New Roman" w:eastAsia="仿宋_GB2312" w:cs="Times New Roman"/>
          <w:b/>
          <w:bCs/>
          <w:spacing w:val="4"/>
          <w:sz w:val="32"/>
          <w:szCs w:val="32"/>
        </w:rPr>
        <w:t>41：历史建筑空置率（%）</w:t>
      </w:r>
    </w:p>
    <w:p w14:paraId="2C1F80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02DBB000">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调查市辖区内闲置半年以上的历史建筑数量，占公布的历史建筑总数的百分比，查找城市历史建筑活化利用、以用促保等方面存在的问题。</w:t>
      </w:r>
    </w:p>
    <w:p w14:paraId="14D0EA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【计算方式】</w:t>
      </w:r>
    </w:p>
    <w:p w14:paraId="68C9ADE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_GB2312" w:cs="Times New Roman"/>
          <w:iCs/>
          <w:color w:val="000000"/>
          <w:sz w:val="32"/>
          <w:szCs w:val="32"/>
        </w:rPr>
      </w:pPr>
      <m:oMath>
        <m:f>
          <m:fPr>
            <m:ctrlPr>
              <w:rPr>
                <w:rFonts w:hint="default" w:ascii="Cambria Math" w:hAnsi="Cambria Math" w:eastAsia="仿宋" w:cs="Times New Roman"/>
                <w:iCs/>
                <w:color w:val="000000"/>
                <w:sz w:val="24"/>
                <w:szCs w:val="24"/>
              </w:rPr>
            </m:ctrlPr>
          </m:fPr>
          <m:num>
            <m:r>
              <m:rPr>
                <m:sty m:val="p"/>
              </m:rPr>
              <w:rPr>
                <w:rFonts w:hint="default" w:ascii="Cambria Math" w:hAnsi="Cambria Math" w:eastAsia="仿宋" w:cs="Times New Roman"/>
                <w:color w:val="000000"/>
                <w:sz w:val="24"/>
                <w:szCs w:val="24"/>
              </w:rPr>
              <m:t>市辖区内闲置半年以上的历史建筑数量</m:t>
            </m:r>
            <m:ctrlPr>
              <w:rPr>
                <w:rFonts w:hint="default" w:ascii="Cambria Math" w:hAnsi="Cambria Math" w:eastAsia="仿宋" w:cs="Times New Roman"/>
                <w:iCs/>
                <w:color w:val="000000"/>
                <w:sz w:val="24"/>
                <w:szCs w:val="24"/>
              </w:rPr>
            </m:ctrlPr>
          </m:num>
          <m:den>
            <m:r>
              <m:rPr>
                <m:sty m:val="p"/>
              </m:rPr>
              <w:rPr>
                <w:rFonts w:hint="default" w:ascii="Cambria Math" w:hAnsi="Cambria Math" w:eastAsia="仿宋" w:cs="Times New Roman"/>
                <w:color w:val="000000"/>
                <w:sz w:val="24"/>
                <w:szCs w:val="24"/>
              </w:rPr>
              <m:t>市辖区内公布的历史建筑总量</m:t>
            </m:r>
            <m:ctrlPr>
              <w:rPr>
                <w:rFonts w:hint="default" w:ascii="Cambria Math" w:hAnsi="Cambria Math" w:eastAsia="仿宋" w:cs="Times New Roman"/>
                <w:iCs/>
                <w:color w:val="000000"/>
                <w:sz w:val="24"/>
                <w:szCs w:val="24"/>
              </w:rPr>
            </m:ctrlPr>
          </m:den>
        </m:f>
        <m:r>
          <m:rPr>
            <m:sty m:val="p"/>
          </m:rPr>
          <w:rPr>
            <w:rFonts w:hint="default" w:ascii="Cambria Math" w:hAnsi="Cambria Math" w:eastAsia="仿宋" w:cs="Times New Roman"/>
            <w:color w:val="000000"/>
            <w:sz w:val="24"/>
            <w:szCs w:val="24"/>
          </w:rPr>
          <m:t>×1</m:t>
        </m:r>
      </m:oMath>
      <w:r>
        <w:rPr>
          <w:rFonts w:hint="default" w:ascii="Times New Roman" w:hAnsi="Times New Roman" w:eastAsia="仿宋" w:cs="Times New Roman"/>
          <w:iCs/>
          <w:color w:val="000000"/>
          <w:sz w:val="24"/>
          <w:szCs w:val="24"/>
        </w:rPr>
        <w:t>00%，</w:t>
      </w:r>
      <w:r>
        <w:rPr>
          <w:rFonts w:hint="default" w:ascii="Times New Roman" w:hAnsi="Times New Roman" w:eastAsia="仿宋_GB2312" w:cs="Times New Roman"/>
          <w:iCs/>
          <w:color w:val="000000"/>
          <w:sz w:val="32"/>
          <w:szCs w:val="32"/>
        </w:rPr>
        <w:t>计算单元为市辖区。</w:t>
      </w:r>
    </w:p>
    <w:p w14:paraId="695C97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54B8A523">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官方统计数据、行业部门填报数据。</w:t>
      </w:r>
    </w:p>
    <w:p w14:paraId="626133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【参考标准】</w:t>
      </w:r>
    </w:p>
    <w:p w14:paraId="45437C33">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各省（区、市）结合实际工作确定。</w:t>
      </w:r>
    </w:p>
    <w:p w14:paraId="26C32D33">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关于在城乡建设中加强历史文化保护传承的意见》指出：坚持以用促保，让历史文化遗产在有效利用中成为城市和乡村的特色标识和公众的时代记忆，让历史文化和现代生活融为一体，实现永续传承。加大文物开放力度，利用具备条件的文物建筑作为博物馆、陈列馆等公共文化设施。活化利用历史建筑、工业遗产，在保持原有外观风貌、典型构件的基础上，通过加建、改建和添加设施等方式适应现代生产生活需要。</w:t>
      </w:r>
    </w:p>
    <w:p w14:paraId="71FA330F">
      <w:pPr>
        <w:pStyle w:val="2"/>
        <w:keepNext w:val="0"/>
        <w:keepLines w:val="0"/>
        <w:pageBreakBefore w:val="0"/>
        <w:widowControl w:val="0"/>
        <w:kinsoku/>
        <w:wordWrap/>
        <w:overflowPunct/>
        <w:topLinePunct w:val="0"/>
        <w:autoSpaceDE/>
        <w:autoSpaceDN/>
        <w:bidi w:val="0"/>
        <w:adjustRightInd/>
        <w:snapToGrid/>
        <w:ind w:firstLine="480"/>
        <w:jc w:val="both"/>
        <w:textAlignment w:val="auto"/>
        <w:rPr>
          <w:rFonts w:hint="default" w:ascii="Times New Roman" w:hAnsi="Times New Roman" w:eastAsia="仿宋_GB2312" w:cs="Times New Roman"/>
          <w:sz w:val="32"/>
          <w:szCs w:val="32"/>
        </w:rPr>
      </w:pPr>
    </w:p>
    <w:p w14:paraId="2DB5C1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3"/>
          <w:sz w:val="32"/>
          <w:szCs w:val="32"/>
        </w:rPr>
        <w:t>指</w:t>
      </w:r>
      <w:r>
        <w:rPr>
          <w:rFonts w:hint="default" w:ascii="Times New Roman" w:hAnsi="Times New Roman" w:eastAsia="仿宋_GB2312" w:cs="Times New Roman"/>
          <w:b/>
          <w:bCs/>
          <w:spacing w:val="2"/>
          <w:sz w:val="32"/>
          <w:szCs w:val="32"/>
        </w:rPr>
        <w:t>标42：历史文化资源遭受破坏的负面事件数（起）</w:t>
      </w:r>
    </w:p>
    <w:p w14:paraId="289AC4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3114609C">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调查市辖区内文物建筑、历史建筑和各类具有保护价值的建筑，以及古树名木等历史环境要素遭受破坏的负面事件数量，查找城乡建设中历史文化遗产遭破坏、拆除，大规模搬迁原住居民等方面的问题。</w:t>
      </w:r>
    </w:p>
    <w:p w14:paraId="179788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【计算方式】</w:t>
      </w:r>
    </w:p>
    <w:p w14:paraId="3109FD10">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市辖区内各种渠道反映的（包含领导批示、网络舆情、媒体报道、群众举报等）、经核实的历史文化资源（包含文物建筑、历史建筑及各类具有保护价值的建筑、古树名木等历史环境要素）遭受破坏的事件数量，计算单元为市辖区。</w:t>
      </w:r>
    </w:p>
    <w:p w14:paraId="5A7077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289AD713">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行业部门填报数据、商业大数据。</w:t>
      </w:r>
    </w:p>
    <w:p w14:paraId="133300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spacing w:val="1"/>
          <w:sz w:val="32"/>
          <w:szCs w:val="32"/>
        </w:rPr>
        <w:t>【参考标准】</w:t>
      </w:r>
    </w:p>
    <w:p w14:paraId="35E808C7">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0。</w:t>
      </w:r>
    </w:p>
    <w:p w14:paraId="0B8951C3">
      <w:pPr>
        <w:pStyle w:val="2"/>
        <w:keepNext w:val="0"/>
        <w:keepLines w:val="0"/>
        <w:pageBreakBefore w:val="0"/>
        <w:widowControl w:val="0"/>
        <w:kinsoku/>
        <w:wordWrap/>
        <w:overflowPunct/>
        <w:topLinePunct w:val="0"/>
        <w:autoSpaceDE/>
        <w:autoSpaceDN/>
        <w:bidi w:val="0"/>
        <w:adjustRightInd/>
        <w:snapToGrid/>
        <w:ind w:firstLine="480"/>
        <w:jc w:val="both"/>
        <w:textAlignment w:val="auto"/>
        <w:rPr>
          <w:rFonts w:hint="default" w:ascii="Times New Roman" w:hAnsi="Times New Roman" w:eastAsia="仿宋_GB2312" w:cs="Times New Roman"/>
          <w:sz w:val="32"/>
          <w:szCs w:val="32"/>
        </w:rPr>
      </w:pPr>
    </w:p>
    <w:p w14:paraId="34E66B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指标43：擅自拆除历</w:t>
      </w:r>
      <w:r>
        <w:rPr>
          <w:rFonts w:hint="default" w:ascii="Times New Roman" w:hAnsi="Times New Roman" w:eastAsia="仿宋_GB2312" w:cs="Times New Roman"/>
          <w:b/>
          <w:bCs/>
          <w:spacing w:val="3"/>
          <w:sz w:val="32"/>
          <w:szCs w:val="32"/>
        </w:rPr>
        <w:t>史</w:t>
      </w:r>
      <w:r>
        <w:rPr>
          <w:rFonts w:hint="default" w:ascii="Times New Roman" w:hAnsi="Times New Roman" w:eastAsia="仿宋_GB2312" w:cs="Times New Roman"/>
          <w:b/>
          <w:bCs/>
          <w:spacing w:val="2"/>
          <w:sz w:val="32"/>
          <w:szCs w:val="32"/>
        </w:rPr>
        <w:t>文化街区内建筑物、构筑物的数量（栋）</w:t>
      </w:r>
    </w:p>
    <w:p w14:paraId="398B21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2FD14BF9">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调查市辖区历史文化街区核心保护范围内，未经有关部门批准，拆除历史建筑以外的建筑物、构筑物或者其他设施的数量，查找违规拆除或审批管理机制不健全等方面的问题。</w:t>
      </w:r>
    </w:p>
    <w:p w14:paraId="516DFD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【计算方式】</w:t>
      </w:r>
    </w:p>
    <w:p w14:paraId="2473DA37">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在历史文化街区核心保护范围内，未经有关部门批准，拆除历史建筑以外的建筑物、构筑物或者其他设施的数量，计算单元为市辖区。</w:t>
      </w:r>
    </w:p>
    <w:p w14:paraId="032394F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27873710">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行业部门填报数据、遥感数据测算。</w:t>
      </w:r>
    </w:p>
    <w:p w14:paraId="64EF1A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【参考标准】</w:t>
      </w:r>
    </w:p>
    <w:p w14:paraId="4C3D7CD0">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0。各城市要按照《历史文化名城名镇名村保护条例》《关于在城乡建设中加强历史文化保护传承的意见》相关规定和要求，完善行政许可审批事项，加强事中事后监管。</w:t>
      </w:r>
    </w:p>
    <w:p w14:paraId="36A68F1A">
      <w:pPr>
        <w:pStyle w:val="2"/>
        <w:keepNext w:val="0"/>
        <w:keepLines w:val="0"/>
        <w:pageBreakBefore w:val="0"/>
        <w:widowControl w:val="0"/>
        <w:kinsoku/>
        <w:wordWrap/>
        <w:overflowPunct/>
        <w:topLinePunct w:val="0"/>
        <w:autoSpaceDE/>
        <w:autoSpaceDN/>
        <w:bidi w:val="0"/>
        <w:adjustRightInd/>
        <w:snapToGrid/>
        <w:ind w:firstLine="480"/>
        <w:jc w:val="both"/>
        <w:textAlignment w:val="auto"/>
        <w:rPr>
          <w:rFonts w:hint="default" w:ascii="Times New Roman" w:hAnsi="Times New Roman" w:eastAsia="仿宋_GB2312" w:cs="Times New Roman"/>
          <w:sz w:val="32"/>
          <w:szCs w:val="32"/>
        </w:rPr>
      </w:pPr>
    </w:p>
    <w:p w14:paraId="1CF447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指标</w:t>
      </w:r>
      <w:r>
        <w:rPr>
          <w:rFonts w:hint="default" w:ascii="Times New Roman" w:hAnsi="Times New Roman" w:eastAsia="仿宋_GB2312" w:cs="Times New Roman"/>
          <w:b/>
          <w:bCs/>
          <w:spacing w:val="2"/>
          <w:sz w:val="32"/>
          <w:szCs w:val="32"/>
        </w:rPr>
        <w:t>44：当年各类保护对象增加数量（个）</w:t>
      </w:r>
    </w:p>
    <w:p w14:paraId="5F3AE8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36EE1722">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调查市辖区内已认定公布的历史文化街区、不可移动文物、历史建筑、历史地段、工业遗产等保护对象数量比上年度增加数量，查找历史文化资源调查评估机制不健全，未做到应保尽保的问题。</w:t>
      </w:r>
    </w:p>
    <w:p w14:paraId="192232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【计算方式】</w:t>
      </w:r>
    </w:p>
    <w:p w14:paraId="738A9F01">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当年市辖区已认定公布的保护对象数量减去上一年度保护对象数量，计算单元为市辖区。</w:t>
      </w:r>
    </w:p>
    <w:p w14:paraId="7C6B7E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4C644984">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官方统计数据、行业部门填报数据。</w:t>
      </w:r>
    </w:p>
    <w:p w14:paraId="531851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【参考标准】</w:t>
      </w:r>
    </w:p>
    <w:p w14:paraId="773983FD">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各省（区、市）结合实际工作确定。</w:t>
      </w:r>
    </w:p>
    <w:p w14:paraId="4EE1DD5E">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北京市2021年重新制定的《北京历史文化名城保护条例》将保护对象的认定标准划分为延续、优化和重新制定三种类型。对于历史文化街区等已有较为成熟认定标准的保护对象，延续其标准；对于历史名园、传统村落等相关认定标准不完善或者与新时代名城保护理念不适应的保护对象，进一步优化其标准；对于传统胡同、历史街巷、特色地区、山水格局等尚未有认定标准的保护对象，经研究后重新制定标准。</w:t>
      </w:r>
    </w:p>
    <w:p w14:paraId="48A9D319">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江苏省《关于在城乡建设中加强历史文化保护传承的实施意见》中提出，注重保护承载不同历史时期文化价值的各类城乡历史文化遗产，保护历史文化名城、名镇、名村（传统村落）；保护历史文化街区、历史地段、地下文物埋藏区和风景名胜区；保护不可移动文物、历史建筑（传统建筑组群）和传统园林；保护古井、古桥、古树名木、工业遗产、农业文化遗产、灌溉工程遗产、非物质文化遗产和地名文化遗产，保护历史文化线路、廊道和网络等区域性历史文化资源。</w:t>
      </w:r>
    </w:p>
    <w:p w14:paraId="03906C31">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3）《杭州市历史文化名城保护条例（草案）》创造性地设置了历史地段、传统风貌建筑两类保护对象，提出了历史建筑和传统风貌建筑合理利用的措施，加大数字化应用力度，以进一步加强对历史文化名城的保护和管理。</w:t>
      </w:r>
    </w:p>
    <w:p w14:paraId="6502FB56">
      <w:pPr>
        <w:pStyle w:val="2"/>
        <w:keepNext w:val="0"/>
        <w:keepLines w:val="0"/>
        <w:pageBreakBefore w:val="0"/>
        <w:widowControl w:val="0"/>
        <w:kinsoku/>
        <w:wordWrap/>
        <w:overflowPunct/>
        <w:topLinePunct w:val="0"/>
        <w:autoSpaceDE/>
        <w:autoSpaceDN/>
        <w:bidi w:val="0"/>
        <w:adjustRightInd/>
        <w:snapToGrid/>
        <w:ind w:firstLine="480"/>
        <w:jc w:val="both"/>
        <w:textAlignment w:val="auto"/>
        <w:rPr>
          <w:rFonts w:hint="default" w:ascii="Times New Roman" w:hAnsi="Times New Roman" w:eastAsia="仿宋_GB2312" w:cs="Times New Roman"/>
          <w:sz w:val="32"/>
          <w:szCs w:val="32"/>
        </w:rPr>
      </w:pPr>
    </w:p>
    <w:p w14:paraId="463965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6"/>
          <w:sz w:val="32"/>
          <w:szCs w:val="32"/>
        </w:rPr>
        <w:t>指</w:t>
      </w:r>
      <w:r>
        <w:rPr>
          <w:rFonts w:hint="default" w:ascii="Times New Roman" w:hAnsi="Times New Roman" w:eastAsia="仿宋_GB2312" w:cs="Times New Roman"/>
          <w:b/>
          <w:bCs/>
          <w:spacing w:val="5"/>
          <w:sz w:val="32"/>
          <w:szCs w:val="32"/>
        </w:rPr>
        <w:t>标</w:t>
      </w:r>
      <w:r>
        <w:rPr>
          <w:rFonts w:hint="default" w:ascii="Times New Roman" w:hAnsi="Times New Roman" w:eastAsia="仿宋_GB2312" w:cs="Times New Roman"/>
          <w:b/>
          <w:bCs/>
          <w:spacing w:val="3"/>
          <w:sz w:val="32"/>
          <w:szCs w:val="32"/>
        </w:rPr>
        <w:t>45：新市民、青年人保障性租赁住房覆盖率（%）</w:t>
      </w:r>
    </w:p>
    <w:p w14:paraId="7739801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7E2992D6">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到2025年新市民、青年人保障性租赁住房覆盖率达到20%的目标，调查分析市辖区内正在享受保障性租赁住房的新市民、青年人数量，占应当享受保障性租赁住房的新市民、青年人数量的百分比，查找解决新市民、青年人住房方面问题。</w:t>
      </w:r>
    </w:p>
    <w:p w14:paraId="435E78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【适用城市】</w:t>
      </w:r>
    </w:p>
    <w:p w14:paraId="1C6A7EF0">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人口净流入的大城市和省级人民政府确定的城市。</w:t>
      </w:r>
    </w:p>
    <w:p w14:paraId="620400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【计算方法】</w:t>
      </w:r>
    </w:p>
    <w:p w14:paraId="3659BFD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_GB2312" w:cs="Times New Roman"/>
          <w:iCs/>
          <w:color w:val="000000"/>
          <w:sz w:val="32"/>
          <w:szCs w:val="32"/>
        </w:rPr>
      </w:pPr>
      <m:oMath>
        <m:f>
          <m:fPr>
            <m:ctrlPr>
              <w:rPr>
                <w:rFonts w:hint="default" w:ascii="Cambria Math" w:hAnsi="Cambria Math" w:eastAsia="仿宋" w:cs="Times New Roman"/>
                <w:iCs/>
                <w:color w:val="000000" w:themeColor="text1"/>
                <w:sz w:val="24"/>
                <w:szCs w:val="24"/>
                <w14:textFill>
                  <w14:solidFill>
                    <w14:schemeClr w14:val="tx1"/>
                  </w14:solidFill>
                </w14:textFill>
              </w:rPr>
            </m:ctrlPr>
          </m:fPr>
          <m:num>
            <m:r>
              <m:rPr>
                <m:sty m:val="p"/>
              </m:rPr>
              <w:rPr>
                <w:rFonts w:hint="default" w:ascii="Cambria Math" w:hAnsi="Cambria Math" w:eastAsia="仿宋" w:cs="Times New Roman"/>
                <w:color w:val="000000" w:themeColor="text1"/>
                <w:sz w:val="24"/>
                <w:szCs w:val="24"/>
                <w14:textFill>
                  <w14:solidFill>
                    <w14:schemeClr w14:val="tx1"/>
                  </w14:solidFill>
                </w14:textFill>
              </w:rPr>
              <m:t>市辖区内正在享受保障性租赁住房的新市民、青年人数量</m:t>
            </m:r>
            <m:ctrlPr>
              <w:rPr>
                <w:rFonts w:hint="default" w:ascii="Cambria Math" w:hAnsi="Cambria Math" w:eastAsia="仿宋" w:cs="Times New Roman"/>
                <w:iCs/>
                <w:color w:val="000000" w:themeColor="text1"/>
                <w:sz w:val="24"/>
                <w:szCs w:val="24"/>
                <w14:textFill>
                  <w14:solidFill>
                    <w14:schemeClr w14:val="tx1"/>
                  </w14:solidFill>
                </w14:textFill>
              </w:rPr>
            </m:ctrlPr>
          </m:num>
          <m:den>
            <m:r>
              <m:rPr>
                <m:sty m:val="p"/>
              </m:rPr>
              <w:rPr>
                <w:rFonts w:hint="default" w:ascii="Cambria Math" w:hAnsi="Cambria Math" w:eastAsia="仿宋" w:cs="Times New Roman"/>
                <w:color w:val="000000" w:themeColor="text1"/>
                <w:sz w:val="24"/>
                <w:szCs w:val="24"/>
                <w14:textFill>
                  <w14:solidFill>
                    <w14:schemeClr w14:val="tx1"/>
                  </w14:solidFill>
                </w14:textFill>
              </w:rPr>
              <m:t>市辖区常住人口中，应当享受保障性租赁住房的新市民、青年人数量</m:t>
            </m:r>
            <m:ctrlPr>
              <w:rPr>
                <w:rFonts w:hint="default" w:ascii="Cambria Math" w:hAnsi="Cambria Math" w:eastAsia="仿宋" w:cs="Times New Roman"/>
                <w:iCs/>
                <w:color w:val="000000" w:themeColor="text1"/>
                <w:sz w:val="24"/>
                <w:szCs w:val="24"/>
                <w14:textFill>
                  <w14:solidFill>
                    <w14:schemeClr w14:val="tx1"/>
                  </w14:solidFill>
                </w14:textFill>
              </w:rPr>
            </m:ctrlPr>
          </m:den>
        </m:f>
        <m:r>
          <m:rPr>
            <m:sty m:val="p"/>
          </m:rPr>
          <w:rPr>
            <w:rFonts w:hint="default" w:ascii="Cambria Math" w:hAnsi="Cambria Math" w:eastAsia="仿宋" w:cs="Times New Roman"/>
            <w:color w:val="000000" w:themeColor="text1"/>
            <w:sz w:val="24"/>
            <w:szCs w:val="24"/>
            <w14:textFill>
              <w14:solidFill>
                <w14:schemeClr w14:val="tx1"/>
              </w14:solidFill>
            </w14:textFill>
          </w:rPr>
          <m:t>×1</m:t>
        </m:r>
      </m:oMath>
      <w:r>
        <w:rPr>
          <w:rFonts w:hint="default" w:ascii="Times New Roman" w:hAnsi="Times New Roman" w:eastAsia="仿宋" w:cs="Times New Roman"/>
          <w:iCs/>
          <w:color w:val="000000" w:themeColor="text1"/>
          <w:sz w:val="24"/>
          <w:szCs w:val="24"/>
          <w14:textFill>
            <w14:solidFill>
              <w14:schemeClr w14:val="tx1"/>
            </w14:solidFill>
          </w14:textFill>
        </w:rPr>
        <w:t>00%</w:t>
      </w:r>
      <w:r>
        <w:rPr>
          <w:rFonts w:hint="default" w:ascii="Times New Roman" w:hAnsi="Times New Roman" w:eastAsia="仿宋" w:cs="Times New Roman"/>
          <w:iCs/>
          <w:color w:val="000000"/>
          <w:sz w:val="24"/>
          <w:szCs w:val="24"/>
        </w:rPr>
        <w:t>，</w:t>
      </w:r>
      <w:r>
        <w:rPr>
          <w:rFonts w:hint="default" w:ascii="Times New Roman" w:hAnsi="Times New Roman" w:eastAsia="仿宋_GB2312" w:cs="Times New Roman"/>
          <w:iCs/>
          <w:color w:val="000000"/>
          <w:sz w:val="32"/>
          <w:szCs w:val="32"/>
        </w:rPr>
        <w:t>计算单元为市辖区，由各市辖区统计后汇总。</w:t>
      </w:r>
    </w:p>
    <w:p w14:paraId="04A0FA2E">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说明一：关于新市民和青年人的界定。新市民一般指非户籍常住人口和新落户一定年限内的户籍人口，青年人一般按年龄段进行界定，具体落户年限、青年人年龄等由各城市确定。考虑到新市民、青年人群体存在一定交叠，在实际测算中也可以按照重点群体进行界定，如进城务工人员、新就业大学生等，各城市可根据自身特点确定。</w:t>
      </w:r>
    </w:p>
    <w:p w14:paraId="5263CABA">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说明二：关于应当享受保障性租赁住房的新市民、青年人数量测算。由于保障性租赁住房主要解决新市民、青年人的过渡性住房需求，同时不设收入、社保年限等门槛限制，潜在需求对象主要为未购买住房、单位未提供宿舍、超出公租房保障范围、需租赁住房居住的新市民、青年人群体。各城市可在此基础上，结合发展目标、产业重点、人才政策和实际保障能力等，确定应当享受保障性租赁住房的保障对象，例如基本公共服务从业人员、重点企业员工、符合条件的引进人才等，并测算需求数量。</w:t>
      </w:r>
    </w:p>
    <w:p w14:paraId="23FAD8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5B802D0E">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官方统计数据、行业部门填报数据。</w:t>
      </w:r>
    </w:p>
    <w:p w14:paraId="789729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【参考标准】</w:t>
      </w:r>
    </w:p>
    <w:p w14:paraId="30FDCD86">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2025年≥20%；每年提高4个百分点。</w:t>
      </w:r>
    </w:p>
    <w:p w14:paraId="616D62BF">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较高的保障性租赁住房覆盖率有助于城市新市民和青年人安居乐业，缓解房租压力。2021年，新市民、青年人保障性租赁住房覆盖率北京、上海、广州和深圳分别为3.9%、3%、10.3%、1.2%；预计到“十四五”期末，北京、上海、广州和深圳覆盖率将分别为24.7%、21.3%、36.4%、11.3%。</w:t>
      </w:r>
    </w:p>
    <w:p w14:paraId="5E3D22E3">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（2）参照北京、上海、广州、深圳等城市的“十四五”任务目标，结合相关司局的近期工作目标确定2023年≥12%；2025年≥20%；每年提高4个百分点。</w:t>
      </w:r>
    </w:p>
    <w:p w14:paraId="54ADD369">
      <w:pPr>
        <w:pStyle w:val="2"/>
        <w:keepNext w:val="0"/>
        <w:keepLines w:val="0"/>
        <w:pageBreakBefore w:val="0"/>
        <w:widowControl w:val="0"/>
        <w:kinsoku/>
        <w:wordWrap/>
        <w:overflowPunct/>
        <w:topLinePunct w:val="0"/>
        <w:autoSpaceDE/>
        <w:autoSpaceDN/>
        <w:bidi w:val="0"/>
        <w:adjustRightInd/>
        <w:snapToGrid/>
        <w:ind w:firstLine="480"/>
        <w:jc w:val="both"/>
        <w:textAlignment w:val="auto"/>
        <w:rPr>
          <w:rFonts w:hint="default" w:ascii="Times New Roman" w:hAnsi="Times New Roman" w:eastAsia="仿宋_GB2312" w:cs="Times New Roman"/>
          <w:sz w:val="32"/>
          <w:szCs w:val="32"/>
        </w:rPr>
      </w:pPr>
    </w:p>
    <w:p w14:paraId="0062EE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6"/>
          <w:sz w:val="32"/>
          <w:szCs w:val="32"/>
        </w:rPr>
        <w:t>指</w:t>
      </w:r>
      <w:r>
        <w:rPr>
          <w:rFonts w:hint="default" w:ascii="Times New Roman" w:hAnsi="Times New Roman" w:eastAsia="仿宋_GB2312" w:cs="Times New Roman"/>
          <w:b/>
          <w:bCs/>
          <w:spacing w:val="4"/>
          <w:sz w:val="32"/>
          <w:szCs w:val="32"/>
        </w:rPr>
        <w:t>标</w:t>
      </w:r>
      <w:r>
        <w:rPr>
          <w:rFonts w:hint="default" w:ascii="Times New Roman" w:hAnsi="Times New Roman" w:eastAsia="仿宋_GB2312" w:cs="Times New Roman"/>
          <w:b/>
          <w:bCs/>
          <w:spacing w:val="3"/>
          <w:sz w:val="32"/>
          <w:szCs w:val="32"/>
        </w:rPr>
        <w:t>46：城市高峰期机动车平均速度（公里/小时）</w:t>
      </w:r>
    </w:p>
    <w:p w14:paraId="577D67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7BEF85A7">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按照城市快速路、主干路早晚高峰期平均车速分别不低于30km/h、20km/h的标准要求，调查工作日早晚高峰时段城市主干路及以上等级道路上各类机动车的平均行驶速度，查找城市交通拥堵情况。</w:t>
      </w:r>
    </w:p>
    <w:p w14:paraId="4821B3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【计算方式】</w:t>
      </w:r>
    </w:p>
    <w:p w14:paraId="5DADE0B0">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先计算各路段平均行程速度=统计周期内通过车辆数ⅹ路段长度/观察车辆在该路段上行驶时间之和，再按车道公里</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统计时段通过的当量小汽车*道路长度</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进行加权平均，计算单位：公里/小时。</w:t>
      </w:r>
    </w:p>
    <w:p w14:paraId="4C856E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5E95CFFD">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行业部门填报数据、商业大数据。</w:t>
      </w:r>
    </w:p>
    <w:p w14:paraId="2A8BD5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【参考标准】</w:t>
      </w:r>
    </w:p>
    <w:p w14:paraId="1DC6AD27">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《城市综合交通体系规划标准》</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GB/T51328-2018）规定城市中心区快速路、主干路高峰平均行程车速分别不低于30公里/小时、20公里/小时。《道路交通信息服务-交通状况描述》</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GB/T29107-2012）评价标准交通状况等级划分情况如下表：</w:t>
      </w:r>
    </w:p>
    <w:p w14:paraId="7FBBE380">
      <w:pPr>
        <w:keepNext w:val="0"/>
        <w:keepLines w:val="0"/>
        <w:pageBreakBefore w:val="0"/>
        <w:widowControl w:val="0"/>
        <w:kinsoku/>
        <w:wordWrap/>
        <w:overflowPunct/>
        <w:topLinePunct w:val="0"/>
        <w:autoSpaceDE/>
        <w:autoSpaceDN/>
        <w:bidi w:val="0"/>
        <w:adjustRightInd/>
        <w:snapToGrid/>
        <w:spacing w:line="360" w:lineRule="auto"/>
        <w:ind w:firstLine="639"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1"/>
          <w:sz w:val="32"/>
          <w:szCs w:val="32"/>
        </w:rPr>
        <w:t>表6 《</w:t>
      </w:r>
      <w:r>
        <w:rPr>
          <w:rFonts w:hint="default" w:ascii="Times New Roman" w:hAnsi="Times New Roman" w:eastAsia="仿宋_GB2312" w:cs="Times New Roman"/>
          <w:b/>
          <w:bCs/>
          <w:sz w:val="32"/>
          <w:szCs w:val="32"/>
        </w:rPr>
        <w:t>GB</w:t>
      </w:r>
      <w:r>
        <w:rPr>
          <w:rFonts w:hint="default" w:ascii="Times New Roman" w:hAnsi="Times New Roman" w:eastAsia="仿宋_GB2312" w:cs="Times New Roman"/>
          <w:b/>
          <w:bCs/>
          <w:spacing w:val="-1"/>
          <w:sz w:val="32"/>
          <w:szCs w:val="32"/>
        </w:rPr>
        <w:t>/</w:t>
      </w:r>
      <w:r>
        <w:rPr>
          <w:rFonts w:hint="default" w:ascii="Times New Roman" w:hAnsi="Times New Roman" w:eastAsia="仿宋_GB2312" w:cs="Times New Roman"/>
          <w:b/>
          <w:bCs/>
          <w:sz w:val="32"/>
          <w:szCs w:val="32"/>
        </w:rPr>
        <w:t>T</w:t>
      </w:r>
      <w:r>
        <w:rPr>
          <w:rFonts w:hint="default" w:ascii="Times New Roman" w:hAnsi="Times New Roman" w:eastAsia="仿宋_GB2312" w:cs="Times New Roman"/>
          <w:b/>
          <w:bCs/>
          <w:spacing w:val="-1"/>
          <w:sz w:val="32"/>
          <w:szCs w:val="32"/>
        </w:rPr>
        <w:t>29107-2012》路段交通状况等级划分</w:t>
      </w:r>
    </w:p>
    <w:tbl>
      <w:tblPr>
        <w:tblStyle w:val="57"/>
        <w:tblW w:w="856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32"/>
        <w:gridCol w:w="1428"/>
        <w:gridCol w:w="1427"/>
        <w:gridCol w:w="1425"/>
        <w:gridCol w:w="1428"/>
        <w:gridCol w:w="1429"/>
      </w:tblGrid>
      <w:tr w14:paraId="399AF0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jc w:val="center"/>
        </w:trPr>
        <w:tc>
          <w:tcPr>
            <w:tcW w:w="1432" w:type="dxa"/>
            <w:vAlign w:val="center"/>
          </w:tcPr>
          <w:p w14:paraId="2337DF2E">
            <w:pPr>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5"/>
                <w:sz w:val="24"/>
                <w:szCs w:val="24"/>
              </w:rPr>
              <w:t>运</w:t>
            </w:r>
            <w:r>
              <w:rPr>
                <w:rFonts w:hint="default" w:ascii="Times New Roman" w:hAnsi="Times New Roman" w:eastAsia="仿宋_GB2312" w:cs="Times New Roman"/>
                <w:b/>
                <w:bCs/>
                <w:spacing w:val="-3"/>
                <w:sz w:val="24"/>
                <w:szCs w:val="24"/>
              </w:rPr>
              <w:t>行等级</w:t>
            </w:r>
          </w:p>
        </w:tc>
        <w:tc>
          <w:tcPr>
            <w:tcW w:w="1428" w:type="dxa"/>
            <w:vAlign w:val="center"/>
          </w:tcPr>
          <w:p w14:paraId="3B1943F9">
            <w:pPr>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7"/>
                <w:sz w:val="24"/>
                <w:szCs w:val="24"/>
              </w:rPr>
              <w:t>畅</w:t>
            </w:r>
            <w:r>
              <w:rPr>
                <w:rFonts w:hint="default" w:ascii="Times New Roman" w:hAnsi="Times New Roman" w:eastAsia="仿宋_GB2312" w:cs="Times New Roman"/>
                <w:b/>
                <w:bCs/>
                <w:spacing w:val="-6"/>
                <w:sz w:val="24"/>
                <w:szCs w:val="24"/>
              </w:rPr>
              <w:t>通</w:t>
            </w:r>
          </w:p>
        </w:tc>
        <w:tc>
          <w:tcPr>
            <w:tcW w:w="1427" w:type="dxa"/>
            <w:vAlign w:val="center"/>
          </w:tcPr>
          <w:p w14:paraId="65D8026E">
            <w:pPr>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3"/>
                <w:sz w:val="24"/>
                <w:szCs w:val="24"/>
              </w:rPr>
              <w:t>基本畅通</w:t>
            </w:r>
          </w:p>
        </w:tc>
        <w:tc>
          <w:tcPr>
            <w:tcW w:w="1425" w:type="dxa"/>
            <w:vAlign w:val="center"/>
          </w:tcPr>
          <w:p w14:paraId="2E9C7DEE">
            <w:pPr>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3"/>
                <w:sz w:val="24"/>
                <w:szCs w:val="24"/>
              </w:rPr>
              <w:t>轻度拥堵</w:t>
            </w:r>
          </w:p>
        </w:tc>
        <w:tc>
          <w:tcPr>
            <w:tcW w:w="1428" w:type="dxa"/>
            <w:vAlign w:val="center"/>
          </w:tcPr>
          <w:p w14:paraId="07E75D27">
            <w:pPr>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12"/>
                <w:sz w:val="24"/>
                <w:szCs w:val="24"/>
              </w:rPr>
              <w:t>中</w:t>
            </w:r>
            <w:r>
              <w:rPr>
                <w:rFonts w:hint="default" w:ascii="Times New Roman" w:hAnsi="Times New Roman" w:eastAsia="仿宋_GB2312" w:cs="Times New Roman"/>
                <w:b/>
                <w:bCs/>
                <w:spacing w:val="-8"/>
                <w:sz w:val="24"/>
                <w:szCs w:val="24"/>
              </w:rPr>
              <w:t>度拥堵</w:t>
            </w:r>
          </w:p>
        </w:tc>
        <w:tc>
          <w:tcPr>
            <w:tcW w:w="1429" w:type="dxa"/>
            <w:vAlign w:val="center"/>
          </w:tcPr>
          <w:p w14:paraId="405E5863">
            <w:pPr>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5"/>
                <w:sz w:val="24"/>
                <w:szCs w:val="24"/>
              </w:rPr>
              <w:t>严</w:t>
            </w:r>
            <w:r>
              <w:rPr>
                <w:rFonts w:hint="default" w:ascii="Times New Roman" w:hAnsi="Times New Roman" w:eastAsia="仿宋_GB2312" w:cs="Times New Roman"/>
                <w:b/>
                <w:bCs/>
                <w:spacing w:val="-3"/>
                <w:sz w:val="24"/>
                <w:szCs w:val="24"/>
              </w:rPr>
              <w:t>重拥堵</w:t>
            </w:r>
          </w:p>
        </w:tc>
      </w:tr>
      <w:tr w14:paraId="0A8ECF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jc w:val="center"/>
        </w:trPr>
        <w:tc>
          <w:tcPr>
            <w:tcW w:w="1432" w:type="dxa"/>
            <w:vAlign w:val="center"/>
          </w:tcPr>
          <w:p w14:paraId="5B3EC98C">
            <w:pPr>
              <w:spacing w:line="240" w:lineRule="auto"/>
              <w:ind w:left="0" w:leftChars="0" w:right="0" w:rightChars="0"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6"/>
                <w:sz w:val="24"/>
                <w:szCs w:val="24"/>
              </w:rPr>
              <w:t>快</w:t>
            </w:r>
            <w:r>
              <w:rPr>
                <w:rFonts w:hint="default" w:ascii="Times New Roman" w:hAnsi="Times New Roman" w:eastAsia="仿宋_GB2312" w:cs="Times New Roman"/>
                <w:spacing w:val="-3"/>
                <w:sz w:val="24"/>
                <w:szCs w:val="24"/>
              </w:rPr>
              <w:t>速路</w:t>
            </w:r>
          </w:p>
        </w:tc>
        <w:tc>
          <w:tcPr>
            <w:tcW w:w="1428" w:type="dxa"/>
            <w:vAlign w:val="center"/>
          </w:tcPr>
          <w:p w14:paraId="11E5E602">
            <w:pPr>
              <w:spacing w:line="240" w:lineRule="auto"/>
              <w:ind w:left="0" w:leftChars="0" w:right="0" w:rightChars="0"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S&gt;55</w:t>
            </w:r>
          </w:p>
        </w:tc>
        <w:tc>
          <w:tcPr>
            <w:tcW w:w="1427" w:type="dxa"/>
            <w:vAlign w:val="center"/>
          </w:tcPr>
          <w:p w14:paraId="73907901">
            <w:pPr>
              <w:spacing w:line="240" w:lineRule="auto"/>
              <w:ind w:left="0" w:leftChars="0" w:right="0" w:rightChars="0"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4</w:t>
            </w:r>
            <w:r>
              <w:rPr>
                <w:rFonts w:hint="default" w:ascii="Times New Roman" w:hAnsi="Times New Roman" w:eastAsia="仿宋_GB2312" w:cs="Times New Roman"/>
                <w:spacing w:val="-1"/>
                <w:sz w:val="24"/>
                <w:szCs w:val="24"/>
              </w:rPr>
              <w:t>0&lt;S≤55</w:t>
            </w:r>
          </w:p>
        </w:tc>
        <w:tc>
          <w:tcPr>
            <w:tcW w:w="1425" w:type="dxa"/>
            <w:vAlign w:val="center"/>
          </w:tcPr>
          <w:p w14:paraId="7F18EFF0">
            <w:pPr>
              <w:spacing w:line="240" w:lineRule="auto"/>
              <w:ind w:left="0" w:leftChars="0" w:right="0" w:rightChars="0"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30&lt;</w:t>
            </w:r>
            <w:r>
              <w:rPr>
                <w:rFonts w:hint="default" w:ascii="Times New Roman" w:hAnsi="Times New Roman" w:eastAsia="仿宋_GB2312" w:cs="Times New Roman"/>
                <w:spacing w:val="-1"/>
                <w:sz w:val="24"/>
                <w:szCs w:val="24"/>
              </w:rPr>
              <w:t>S</w:t>
            </w:r>
            <w:r>
              <w:rPr>
                <w:rFonts w:hint="default" w:ascii="Times New Roman" w:hAnsi="Times New Roman" w:eastAsia="仿宋_GB2312" w:cs="Times New Roman"/>
                <w:spacing w:val="-2"/>
                <w:sz w:val="24"/>
                <w:szCs w:val="24"/>
              </w:rPr>
              <w:t>≤40</w:t>
            </w:r>
          </w:p>
        </w:tc>
        <w:tc>
          <w:tcPr>
            <w:tcW w:w="1428" w:type="dxa"/>
            <w:vAlign w:val="center"/>
          </w:tcPr>
          <w:p w14:paraId="1E000FFD">
            <w:pPr>
              <w:spacing w:line="240" w:lineRule="auto"/>
              <w:ind w:left="0" w:leftChars="0" w:right="0" w:rightChars="0"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20&lt;</w:t>
            </w:r>
            <w:r>
              <w:rPr>
                <w:rFonts w:hint="default" w:ascii="Times New Roman" w:hAnsi="Times New Roman" w:eastAsia="仿宋_GB2312" w:cs="Times New Roman"/>
                <w:spacing w:val="-1"/>
                <w:sz w:val="24"/>
                <w:szCs w:val="24"/>
              </w:rPr>
              <w:t>S</w:t>
            </w:r>
            <w:r>
              <w:rPr>
                <w:rFonts w:hint="default" w:ascii="Times New Roman" w:hAnsi="Times New Roman" w:eastAsia="仿宋_GB2312" w:cs="Times New Roman"/>
                <w:spacing w:val="-2"/>
                <w:sz w:val="24"/>
                <w:szCs w:val="24"/>
              </w:rPr>
              <w:t>≤3</w:t>
            </w:r>
            <w:r>
              <w:rPr>
                <w:rFonts w:hint="default" w:ascii="Times New Roman" w:hAnsi="Times New Roman" w:eastAsia="仿宋_GB2312" w:cs="Times New Roman"/>
                <w:spacing w:val="-1"/>
                <w:sz w:val="24"/>
                <w:szCs w:val="24"/>
              </w:rPr>
              <w:t>0</w:t>
            </w:r>
          </w:p>
        </w:tc>
        <w:tc>
          <w:tcPr>
            <w:tcW w:w="1429" w:type="dxa"/>
            <w:vAlign w:val="center"/>
          </w:tcPr>
          <w:p w14:paraId="63EEBD77">
            <w:pPr>
              <w:spacing w:line="240" w:lineRule="auto"/>
              <w:ind w:left="0" w:leftChars="0" w:right="0" w:rightChars="0"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S</w:t>
            </w:r>
            <w:r>
              <w:rPr>
                <w:rFonts w:hint="default" w:ascii="Times New Roman" w:hAnsi="Times New Roman" w:eastAsia="仿宋_GB2312" w:cs="Times New Roman"/>
                <w:spacing w:val="-4"/>
                <w:sz w:val="24"/>
                <w:szCs w:val="24"/>
              </w:rPr>
              <w:t>≤</w:t>
            </w:r>
            <w:r>
              <w:rPr>
                <w:rFonts w:hint="default" w:ascii="Times New Roman" w:hAnsi="Times New Roman" w:eastAsia="仿宋_GB2312" w:cs="Times New Roman"/>
                <w:spacing w:val="-2"/>
                <w:sz w:val="24"/>
                <w:szCs w:val="24"/>
              </w:rPr>
              <w:t>20</w:t>
            </w:r>
          </w:p>
        </w:tc>
      </w:tr>
      <w:tr w14:paraId="597360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jc w:val="center"/>
        </w:trPr>
        <w:tc>
          <w:tcPr>
            <w:tcW w:w="1432" w:type="dxa"/>
            <w:vAlign w:val="center"/>
          </w:tcPr>
          <w:p w14:paraId="30B35CBE">
            <w:pPr>
              <w:spacing w:line="240" w:lineRule="auto"/>
              <w:ind w:left="0" w:leftChars="0" w:right="0" w:rightChars="0"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6"/>
                <w:sz w:val="24"/>
                <w:szCs w:val="24"/>
              </w:rPr>
              <w:t>主</w:t>
            </w:r>
            <w:r>
              <w:rPr>
                <w:rFonts w:hint="default" w:ascii="Times New Roman" w:hAnsi="Times New Roman" w:eastAsia="仿宋_GB2312" w:cs="Times New Roman"/>
                <w:spacing w:val="-5"/>
                <w:sz w:val="24"/>
                <w:szCs w:val="24"/>
              </w:rPr>
              <w:t>干路</w:t>
            </w:r>
          </w:p>
        </w:tc>
        <w:tc>
          <w:tcPr>
            <w:tcW w:w="1428" w:type="dxa"/>
            <w:vAlign w:val="center"/>
          </w:tcPr>
          <w:p w14:paraId="7106AB0B">
            <w:pPr>
              <w:spacing w:line="240" w:lineRule="auto"/>
              <w:ind w:left="0" w:leftChars="0" w:right="0" w:rightChars="0"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S&gt;40</w:t>
            </w:r>
          </w:p>
        </w:tc>
        <w:tc>
          <w:tcPr>
            <w:tcW w:w="1427" w:type="dxa"/>
            <w:vAlign w:val="center"/>
          </w:tcPr>
          <w:p w14:paraId="4A8A0C41">
            <w:pPr>
              <w:spacing w:line="240" w:lineRule="auto"/>
              <w:ind w:left="0" w:leftChars="0" w:right="0" w:rightChars="0"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30&lt;S≤40</w:t>
            </w:r>
          </w:p>
        </w:tc>
        <w:tc>
          <w:tcPr>
            <w:tcW w:w="1425" w:type="dxa"/>
            <w:vAlign w:val="center"/>
          </w:tcPr>
          <w:p w14:paraId="61EC1ABE">
            <w:pPr>
              <w:spacing w:line="240" w:lineRule="auto"/>
              <w:ind w:left="0" w:leftChars="0" w:right="0" w:rightChars="0"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20&lt;</w:t>
            </w:r>
            <w:r>
              <w:rPr>
                <w:rFonts w:hint="default" w:ascii="Times New Roman" w:hAnsi="Times New Roman" w:eastAsia="仿宋_GB2312" w:cs="Times New Roman"/>
                <w:spacing w:val="-1"/>
                <w:sz w:val="24"/>
                <w:szCs w:val="24"/>
              </w:rPr>
              <w:t>S</w:t>
            </w:r>
            <w:r>
              <w:rPr>
                <w:rFonts w:hint="default" w:ascii="Times New Roman" w:hAnsi="Times New Roman" w:eastAsia="仿宋_GB2312" w:cs="Times New Roman"/>
                <w:spacing w:val="-2"/>
                <w:sz w:val="24"/>
                <w:szCs w:val="24"/>
              </w:rPr>
              <w:t>≤</w:t>
            </w:r>
            <w:r>
              <w:rPr>
                <w:rFonts w:hint="default" w:ascii="Times New Roman" w:hAnsi="Times New Roman" w:eastAsia="仿宋_GB2312" w:cs="Times New Roman"/>
                <w:spacing w:val="-1"/>
                <w:sz w:val="24"/>
                <w:szCs w:val="24"/>
              </w:rPr>
              <w:t>30</w:t>
            </w:r>
          </w:p>
        </w:tc>
        <w:tc>
          <w:tcPr>
            <w:tcW w:w="1428" w:type="dxa"/>
            <w:vAlign w:val="center"/>
          </w:tcPr>
          <w:p w14:paraId="3056ADA5">
            <w:pPr>
              <w:spacing w:line="240" w:lineRule="auto"/>
              <w:ind w:left="0" w:leftChars="0" w:right="0" w:rightChars="0"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6"/>
                <w:sz w:val="24"/>
                <w:szCs w:val="24"/>
              </w:rPr>
              <w:t>15</w:t>
            </w:r>
            <w:r>
              <w:rPr>
                <w:rFonts w:hint="default" w:ascii="Times New Roman" w:hAnsi="Times New Roman" w:eastAsia="仿宋_GB2312" w:cs="Times New Roman"/>
                <w:spacing w:val="-3"/>
                <w:sz w:val="24"/>
                <w:szCs w:val="24"/>
              </w:rPr>
              <w:t>&lt;S≤20</w:t>
            </w:r>
          </w:p>
        </w:tc>
        <w:tc>
          <w:tcPr>
            <w:tcW w:w="1429" w:type="dxa"/>
            <w:vAlign w:val="center"/>
          </w:tcPr>
          <w:p w14:paraId="641A16AF">
            <w:pPr>
              <w:spacing w:line="240" w:lineRule="auto"/>
              <w:ind w:left="0" w:leftChars="0" w:right="0" w:rightChars="0" w:firstLine="0" w:firstLineChars="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S</w:t>
            </w:r>
            <w:r>
              <w:rPr>
                <w:rFonts w:hint="default" w:ascii="Times New Roman" w:hAnsi="Times New Roman" w:eastAsia="仿宋_GB2312" w:cs="Times New Roman"/>
                <w:spacing w:val="-4"/>
                <w:sz w:val="24"/>
                <w:szCs w:val="24"/>
              </w:rPr>
              <w:t>≤</w:t>
            </w:r>
            <w:r>
              <w:rPr>
                <w:rFonts w:hint="default" w:ascii="Times New Roman" w:hAnsi="Times New Roman" w:eastAsia="仿宋_GB2312" w:cs="Times New Roman"/>
                <w:spacing w:val="-2"/>
                <w:sz w:val="24"/>
                <w:szCs w:val="24"/>
              </w:rPr>
              <w:t>15</w:t>
            </w:r>
          </w:p>
        </w:tc>
      </w:tr>
    </w:tbl>
    <w:p w14:paraId="7A48E5A6">
      <w:pPr>
        <w:spacing w:line="360" w:lineRule="auto"/>
        <w:rPr>
          <w:rFonts w:hint="default" w:ascii="Times New Roman" w:hAnsi="Times New Roman" w:eastAsia="楷体" w:cs="Times New Roman"/>
          <w:spacing w:val="6"/>
          <w:sz w:val="24"/>
          <w:szCs w:val="24"/>
        </w:rPr>
      </w:pPr>
    </w:p>
    <w:p w14:paraId="32F540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6"/>
          <w:sz w:val="32"/>
          <w:szCs w:val="32"/>
        </w:rPr>
        <w:t>指标4</w:t>
      </w:r>
      <w:r>
        <w:rPr>
          <w:rFonts w:hint="default" w:ascii="Times New Roman" w:hAnsi="Times New Roman" w:eastAsia="仿宋_GB2312" w:cs="Times New Roman"/>
          <w:b/>
          <w:bCs/>
          <w:spacing w:val="5"/>
          <w:sz w:val="32"/>
          <w:szCs w:val="32"/>
        </w:rPr>
        <w:t>7</w:t>
      </w:r>
      <w:r>
        <w:rPr>
          <w:rFonts w:hint="default" w:ascii="Times New Roman" w:hAnsi="Times New Roman" w:eastAsia="仿宋_GB2312" w:cs="Times New Roman"/>
          <w:b/>
          <w:bCs/>
          <w:spacing w:val="3"/>
          <w:sz w:val="32"/>
          <w:szCs w:val="32"/>
        </w:rPr>
        <w:t>：轨道站点周边覆盖通勤比例（%）</w:t>
      </w:r>
    </w:p>
    <w:p w14:paraId="4FB8E3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632E5C04">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参照轨道站点800米范围覆盖的轨道交通通勤量，占城市总通勤量的百分比超大城市≥30%、特大城市≥20%、大城市≥10%的目标，调查分析市辖区内轨道站点周边覆盖通勤量比例，查找城市轨道交通站点与周边地区土地综合开发、长距离通勤效能等方面存在的短板和问题。</w:t>
      </w:r>
    </w:p>
    <w:p w14:paraId="6E7E0299">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注：未建设轨道站点的城市可采用指标项“公交站点周边覆盖通勤比例（%）”进行替代。其中，“公交站点周边覆盖通勤比例（%）”参照公交站点500米范围覆盖的轨道交通通勤量进行计算。</w:t>
      </w:r>
    </w:p>
    <w:p w14:paraId="70EDA5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【计算方式】</w:t>
      </w:r>
    </w:p>
    <w:p w14:paraId="16DAEED8">
      <w:pPr>
        <w:spacing w:line="360" w:lineRule="auto"/>
        <w:ind w:firstLine="480" w:firstLineChars="200"/>
        <w:rPr>
          <w:rFonts w:hint="default" w:ascii="Times New Roman" w:hAnsi="Times New Roman" w:eastAsia="仿宋" w:cs="Times New Roman"/>
          <w:spacing w:val="2"/>
          <w:sz w:val="24"/>
          <w:szCs w:val="24"/>
        </w:rPr>
      </w:pPr>
      <m:oMath>
        <m:f>
          <m:fPr>
            <m:ctrlPr>
              <w:rPr>
                <w:rFonts w:hint="default" w:ascii="Cambria Math" w:hAnsi="Cambria Math" w:eastAsia="仿宋" w:cs="Times New Roman"/>
                <w:iCs/>
                <w:color w:val="000000" w:themeColor="text1"/>
                <w:sz w:val="24"/>
                <w:szCs w:val="24"/>
                <w14:textFill>
                  <w14:solidFill>
                    <w14:schemeClr w14:val="tx1"/>
                  </w14:solidFill>
                </w14:textFill>
              </w:rPr>
            </m:ctrlPr>
          </m:fPr>
          <m:num>
            <m:r>
              <m:rPr>
                <m:sty m:val="p"/>
              </m:rPr>
              <w:rPr>
                <w:rFonts w:hint="default" w:ascii="Cambria Math" w:hAnsi="Cambria Math" w:eastAsia="仿宋" w:cs="Times New Roman"/>
                <w:color w:val="000000" w:themeColor="text1"/>
                <w:sz w:val="24"/>
                <w:szCs w:val="24"/>
                <w14:textFill>
                  <w14:solidFill>
                    <w14:schemeClr w14:val="tx1"/>
                  </w14:solidFill>
                </w14:textFill>
              </w:rPr>
              <m:t>市辖区建成区内居住和就业均在轨道车站800米范围内的通勤量</m:t>
            </m:r>
            <m:ctrlPr>
              <w:rPr>
                <w:rFonts w:hint="default" w:ascii="Cambria Math" w:hAnsi="Cambria Math" w:eastAsia="仿宋" w:cs="Times New Roman"/>
                <w:iCs/>
                <w:color w:val="000000" w:themeColor="text1"/>
                <w:sz w:val="24"/>
                <w:szCs w:val="24"/>
                <w14:textFill>
                  <w14:solidFill>
                    <w14:schemeClr w14:val="tx1"/>
                  </w14:solidFill>
                </w14:textFill>
              </w:rPr>
            </m:ctrlPr>
          </m:num>
          <m:den>
            <m:r>
              <m:rPr>
                <m:sty m:val="p"/>
              </m:rPr>
              <w:rPr>
                <w:rFonts w:hint="default" w:ascii="Cambria Math" w:hAnsi="Cambria Math" w:eastAsia="仿宋" w:cs="Times New Roman"/>
                <w:color w:val="000000" w:themeColor="text1"/>
                <w:sz w:val="24"/>
                <w:szCs w:val="24"/>
                <w14:textFill>
                  <w14:solidFill>
                    <w14:schemeClr w14:val="tx1"/>
                  </w14:solidFill>
                </w14:textFill>
              </w:rPr>
              <m:t>市辖区建成区内城市总通勤量</m:t>
            </m:r>
            <m:ctrlPr>
              <w:rPr>
                <w:rFonts w:hint="default" w:ascii="Cambria Math" w:hAnsi="Cambria Math" w:eastAsia="仿宋" w:cs="Times New Roman"/>
                <w:iCs/>
                <w:color w:val="000000" w:themeColor="text1"/>
                <w:sz w:val="24"/>
                <w:szCs w:val="24"/>
                <w14:textFill>
                  <w14:solidFill>
                    <w14:schemeClr w14:val="tx1"/>
                  </w14:solidFill>
                </w14:textFill>
              </w:rPr>
            </m:ctrlPr>
          </m:den>
        </m:f>
        <m:r>
          <m:rPr>
            <m:sty m:val="p"/>
          </m:rPr>
          <w:rPr>
            <w:rFonts w:hint="default" w:ascii="Cambria Math" w:hAnsi="Cambria Math" w:eastAsia="仿宋" w:cs="Times New Roman"/>
            <w:color w:val="000000" w:themeColor="text1"/>
            <w:sz w:val="24"/>
            <w:szCs w:val="24"/>
            <w14:textFill>
              <w14:solidFill>
                <w14:schemeClr w14:val="tx1"/>
              </w14:solidFill>
            </w14:textFill>
          </w:rPr>
          <m:t>×1</m:t>
        </m:r>
      </m:oMath>
      <w:r>
        <w:rPr>
          <w:rFonts w:hint="default" w:ascii="Times New Roman" w:hAnsi="Times New Roman" w:eastAsia="仿宋" w:cs="Times New Roman"/>
          <w:iCs/>
          <w:color w:val="000000" w:themeColor="text1"/>
          <w:sz w:val="24"/>
          <w:szCs w:val="24"/>
          <w14:textFill>
            <w14:solidFill>
              <w14:schemeClr w14:val="tx1"/>
            </w14:solidFill>
          </w14:textFill>
        </w:rPr>
        <w:t>00%</w:t>
      </w:r>
    </w:p>
    <w:p w14:paraId="703D5C3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3E082088">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行业部门填报数据、商业大数据。</w:t>
      </w:r>
    </w:p>
    <w:p w14:paraId="7491D0E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【参考标准】</w:t>
      </w:r>
    </w:p>
    <w:p w14:paraId="036B7221">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超大城市≥30%、特大城市≥20%、大城市≥10%，不同规模的城市可结合各城市轨道运营里程、政策导向等因素设定标准值。</w:t>
      </w:r>
    </w:p>
    <w:p w14:paraId="58ED317C">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根据中国城市规划设计研究院发布的《中国主要城市通勤监测报告（2022）》样本城市中，40个运营地铁城市的轨道800米覆盖通勤比重指标，结合七普城市规模分类标准，超大城市平均值为26%，特大城市平均值为15%，大城市平均值为11%。</w:t>
      </w:r>
    </w:p>
    <w:p w14:paraId="7362732D">
      <w:pPr>
        <w:pStyle w:val="2"/>
        <w:keepNext w:val="0"/>
        <w:keepLines w:val="0"/>
        <w:pageBreakBefore w:val="0"/>
        <w:widowControl w:val="0"/>
        <w:kinsoku/>
        <w:wordWrap/>
        <w:overflowPunct/>
        <w:topLinePunct w:val="0"/>
        <w:autoSpaceDE/>
        <w:autoSpaceDN/>
        <w:bidi w:val="0"/>
        <w:adjustRightInd/>
        <w:snapToGrid/>
        <w:ind w:firstLine="480"/>
        <w:jc w:val="both"/>
        <w:textAlignment w:val="auto"/>
        <w:rPr>
          <w:rFonts w:hint="default" w:ascii="Times New Roman" w:hAnsi="Times New Roman" w:eastAsia="仿宋_GB2312" w:cs="Times New Roman"/>
          <w:sz w:val="32"/>
          <w:szCs w:val="32"/>
        </w:rPr>
      </w:pPr>
    </w:p>
    <w:p w14:paraId="5B59F9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6"/>
          <w:sz w:val="32"/>
          <w:szCs w:val="32"/>
        </w:rPr>
        <w:t>指标</w:t>
      </w:r>
      <w:r>
        <w:rPr>
          <w:rFonts w:hint="default" w:ascii="Times New Roman" w:hAnsi="Times New Roman" w:eastAsia="仿宋_GB2312" w:cs="Times New Roman"/>
          <w:b/>
          <w:bCs/>
          <w:spacing w:val="5"/>
          <w:sz w:val="32"/>
          <w:szCs w:val="32"/>
        </w:rPr>
        <w:t>4</w:t>
      </w:r>
      <w:r>
        <w:rPr>
          <w:rFonts w:hint="default" w:ascii="Times New Roman" w:hAnsi="Times New Roman" w:eastAsia="仿宋_GB2312" w:cs="Times New Roman"/>
          <w:b/>
          <w:bCs/>
          <w:spacing w:val="3"/>
          <w:sz w:val="32"/>
          <w:szCs w:val="32"/>
        </w:rPr>
        <w:t>8：房屋市政工程安全生产事故数（起）</w:t>
      </w:r>
    </w:p>
    <w:p w14:paraId="1201CD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1586BDE9">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调查市辖区内房屋市政工程生产安全较大及以上事故起数，查找城市房屋市政工程安全生产方面存在的问题。</w:t>
      </w:r>
    </w:p>
    <w:p w14:paraId="7515A7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【计</w:t>
      </w:r>
      <w:r>
        <w:rPr>
          <w:rFonts w:hint="default" w:ascii="Times New Roman" w:hAnsi="Times New Roman" w:eastAsia="仿宋_GB2312" w:cs="Times New Roman"/>
          <w:spacing w:val="1"/>
          <w:sz w:val="32"/>
          <w:szCs w:val="32"/>
        </w:rPr>
        <w:t>算方式】</w:t>
      </w:r>
    </w:p>
    <w:p w14:paraId="357C9F54">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计算单元为建成区，由各市辖区统计房屋市政工程生产安全较大及以上事故起数后汇总。</w:t>
      </w:r>
    </w:p>
    <w:p w14:paraId="4A84D0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6A203734">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官方统计数据、行业部门填报数据。</w:t>
      </w:r>
    </w:p>
    <w:p w14:paraId="399C21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【参考标准】</w:t>
      </w:r>
    </w:p>
    <w:p w14:paraId="2AD9EDC3">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住房和城乡建设部《关于开展房屋市政工程安全生产治理行动的通知》（建质电建科〔2022〕19号）要求，地方各级住房和城乡建设主管部门于2022年7月底前，对本行政区域内所有房屋市政工程在建项目进行一次全面排查，对发现的隐患问题及时整改；2022年9月底前，需开展隐患排查整治情况“回头看”，对前一阶段工作实施层级检查和重点项目抽查。</w:t>
      </w:r>
    </w:p>
    <w:p w14:paraId="7152CA1C">
      <w:pPr>
        <w:pStyle w:val="2"/>
        <w:keepNext w:val="0"/>
        <w:keepLines w:val="0"/>
        <w:pageBreakBefore w:val="0"/>
        <w:widowControl w:val="0"/>
        <w:kinsoku/>
        <w:wordWrap/>
        <w:overflowPunct/>
        <w:topLinePunct w:val="0"/>
        <w:autoSpaceDE/>
        <w:autoSpaceDN/>
        <w:bidi w:val="0"/>
        <w:adjustRightInd/>
        <w:snapToGrid/>
        <w:ind w:firstLine="480"/>
        <w:jc w:val="both"/>
        <w:textAlignment w:val="auto"/>
        <w:rPr>
          <w:rFonts w:hint="default" w:ascii="Times New Roman" w:hAnsi="Times New Roman" w:eastAsia="仿宋_GB2312" w:cs="Times New Roman"/>
          <w:sz w:val="32"/>
          <w:szCs w:val="32"/>
        </w:rPr>
      </w:pPr>
    </w:p>
    <w:p w14:paraId="518590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指标</w:t>
      </w:r>
      <w:r>
        <w:rPr>
          <w:rFonts w:hint="default" w:ascii="Times New Roman" w:hAnsi="Times New Roman" w:eastAsia="仿宋_GB2312" w:cs="Times New Roman"/>
          <w:b/>
          <w:bCs/>
          <w:spacing w:val="2"/>
          <w:sz w:val="32"/>
          <w:szCs w:val="32"/>
        </w:rPr>
        <w:t>49：消除严重易涝积水点数量（个）</w:t>
      </w:r>
    </w:p>
    <w:p w14:paraId="466EC1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53625361">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按照到2025年全面消除严重易涝积水点的目标要求，调查市辖区建成区内消除历史上严重影响生产生活秩序的易涝积水点数量，查找城市排水防涝工程体系建设方面的差距和问题。</w:t>
      </w:r>
    </w:p>
    <w:p w14:paraId="0B4CF86C">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【计</w:t>
      </w:r>
      <w:r>
        <w:rPr>
          <w:rFonts w:hint="default" w:ascii="Times New Roman" w:hAnsi="Times New Roman" w:eastAsia="仿宋_GB2312" w:cs="Times New Roman"/>
          <w:spacing w:val="1"/>
          <w:sz w:val="32"/>
          <w:szCs w:val="32"/>
        </w:rPr>
        <w:t>算方式】</w:t>
      </w:r>
    </w:p>
    <w:p w14:paraId="4535CF08">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计算单元为市辖区建成区，由各市辖区统计建成区内消除历史上严重影响生产生活秩序的易涝积水点数量后汇总。</w:t>
      </w:r>
    </w:p>
    <w:p w14:paraId="6051D97E">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19A619F8">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行业部门填报数据、遥感数据测算。</w:t>
      </w:r>
    </w:p>
    <w:p w14:paraId="33EF0A9C">
      <w:pPr>
        <w:spacing w:line="360" w:lineRule="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【参考标准】</w:t>
      </w:r>
    </w:p>
    <w:p w14:paraId="45AE5358">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根据《国务院办公厅关于加强城市内涝治理的实施意见》（国办发〔2021〕11号）要求，到2025年，历史上严重影响生产生活秩序的易涝积水点全面消除。根据《国务院办公厅关于加强城市内涝治理的实施意见》（国办发〔2021〕11号），到2025年全面消除严重易涝积水点的目标要求，各城市要确定本年度易涝积水点专项治理数量，结合城市排水防涝工程体系建设、城市基础设施生命线安全工程建设，消除易涝积水点，提高防洪排涝能力。</w:t>
      </w:r>
    </w:p>
    <w:p w14:paraId="1C6DE9E8">
      <w:pPr>
        <w:pStyle w:val="2"/>
        <w:ind w:firstLine="480"/>
        <w:rPr>
          <w:rFonts w:hint="default" w:ascii="Times New Roman" w:hAnsi="Times New Roman" w:eastAsia="仿宋_GB2312" w:cs="Times New Roman"/>
          <w:sz w:val="32"/>
          <w:szCs w:val="32"/>
        </w:rPr>
      </w:pPr>
    </w:p>
    <w:p w14:paraId="7DF5EB80">
      <w:pPr>
        <w:spacing w:line="360" w:lineRule="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指标50</w:t>
      </w:r>
      <w:r>
        <w:rPr>
          <w:rFonts w:hint="default" w:ascii="Times New Roman" w:hAnsi="Times New Roman" w:eastAsia="仿宋_GB2312" w:cs="Times New Roman"/>
          <w:b/>
          <w:bCs/>
          <w:spacing w:val="2"/>
          <w:sz w:val="32"/>
          <w:szCs w:val="32"/>
        </w:rPr>
        <w:t>：城市排水防涝应急抢险能力（立方米/小时）</w:t>
      </w:r>
    </w:p>
    <w:p w14:paraId="3B6B8A8F">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25C080D9">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国务院办公厅关于加强城市内涝治理的实施意见》的要求，调查分析市辖区建成区内配备的排水防涝抽水泵、移动泵车及相应配套的自主发电等排水防涝设施每小时抽排的水量，查找城市排水防涝隐患排查和整治、专用防汛设备和抢险物资配备、应急响应和处置等方面存在的问题。</w:t>
      </w:r>
    </w:p>
    <w:p w14:paraId="2315D8C2">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【计</w:t>
      </w:r>
      <w:r>
        <w:rPr>
          <w:rFonts w:hint="default" w:ascii="Times New Roman" w:hAnsi="Times New Roman" w:eastAsia="仿宋_GB2312" w:cs="Times New Roman"/>
          <w:spacing w:val="1"/>
          <w:sz w:val="32"/>
          <w:szCs w:val="32"/>
        </w:rPr>
        <w:t>算方式】</w:t>
      </w:r>
    </w:p>
    <w:p w14:paraId="18DCA83A">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计算单元为市辖区建成区，由各市辖区统计配备的排水防涝抽水泵、移动泵车及相应配套的自主发电等排水防涝应急设施每小时抽排的水量后汇总。</w:t>
      </w:r>
    </w:p>
    <w:p w14:paraId="0BFA1BAC">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7DB5F7D1">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官方统计数据、行业部门填报数据。</w:t>
      </w:r>
    </w:p>
    <w:p w14:paraId="5CF08E4C">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【参考标准】</w:t>
      </w:r>
    </w:p>
    <w:p w14:paraId="668A6A35">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十四五”城市排水防涝体系建设行动计划》（建城〔2022〕36号）要求，摸清城市排水防涝应急抢险能力、队伍建设和物资储备情况，研判应急预案科学性与可操作性，排查城市供水供气等生命线工程防汛安全隐患，排查车库、建筑小区地下空间、各类下穿通道、地铁、变配电站、通讯基站、医院、学校、养老院等重点区域或薄弱地区防汛安全隐患及应急抢险装备物资布设情况。加强应急资源管理平台推广应用。持续提升城市排水防涝应急管理能力。浙江省人民政府办公厅《关于加强城市内涝防治工作的实施意见》（浙政办发〔2014〕11号）要求，为进一步提升城区内涝防治能力，要求各地提升应急抢险能力。各级政府要建立建设、水利、公安、消防、交警、电力等排涝应急抢险队伍，按照城市建成区每平方公里应急排涝能力不低于100立方米/小时的标准，足量配备所需抽水泵、移动泵车等，并配套相应的自主发电设备。易受台风、暴雨影响的沿海地区、平原地区设区市至少要配备一台抽水能力不低于1000立方米/小时的抽水车，有条件地区可多辆配备。各地要配备一定数量的移动电源车和固定发电机，确保停电状态下排水泵站能正常运行。</w:t>
      </w:r>
    </w:p>
    <w:p w14:paraId="41029B99">
      <w:pPr>
        <w:pStyle w:val="2"/>
        <w:ind w:firstLine="480"/>
        <w:rPr>
          <w:rFonts w:hint="default" w:ascii="Times New Roman" w:hAnsi="Times New Roman" w:eastAsia="仿宋_GB2312" w:cs="Times New Roman"/>
          <w:sz w:val="32"/>
          <w:szCs w:val="32"/>
        </w:rPr>
      </w:pPr>
    </w:p>
    <w:p w14:paraId="693775C8">
      <w:pPr>
        <w:spacing w:line="360" w:lineRule="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8"/>
          <w:sz w:val="32"/>
          <w:szCs w:val="32"/>
        </w:rPr>
        <w:t>指</w:t>
      </w:r>
      <w:r>
        <w:rPr>
          <w:rFonts w:hint="default" w:ascii="Times New Roman" w:hAnsi="Times New Roman" w:eastAsia="仿宋_GB2312" w:cs="Times New Roman"/>
          <w:b/>
          <w:bCs/>
          <w:spacing w:val="6"/>
          <w:sz w:val="32"/>
          <w:szCs w:val="32"/>
        </w:rPr>
        <w:t>标</w:t>
      </w:r>
      <w:r>
        <w:rPr>
          <w:rFonts w:hint="default" w:ascii="Times New Roman" w:hAnsi="Times New Roman" w:eastAsia="仿宋_GB2312" w:cs="Times New Roman"/>
          <w:b/>
          <w:bCs/>
          <w:spacing w:val="4"/>
          <w:sz w:val="32"/>
          <w:szCs w:val="32"/>
        </w:rPr>
        <w:t>51：应急供水保障率（%）</w:t>
      </w:r>
    </w:p>
    <w:p w14:paraId="5A3E9928">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2B6CD14C">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住房和城乡建设部办公厅等《关于加强城市供水安全保障工作的通知》要求，调查市辖区应急供水量占总供水能力的百分比，分析城市应急水源或备用水源建设运行、应急净水和救援能力建设、供水应急响应机制建立情况，查找城市在水源突发污染、旱涝急转等不同风险状况下应急供水能力方面存在的问题。</w:t>
      </w:r>
    </w:p>
    <w:p w14:paraId="55B3E762">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【计</w:t>
      </w:r>
      <w:r>
        <w:rPr>
          <w:rFonts w:hint="default" w:ascii="Times New Roman" w:hAnsi="Times New Roman" w:eastAsia="仿宋_GB2312" w:cs="Times New Roman"/>
          <w:spacing w:val="1"/>
          <w:sz w:val="32"/>
          <w:szCs w:val="32"/>
        </w:rPr>
        <w:t>算方式】</w:t>
      </w:r>
    </w:p>
    <w:p w14:paraId="7EDFD7AA">
      <w:pPr>
        <w:spacing w:line="360" w:lineRule="auto"/>
        <w:ind w:firstLine="480" w:firstLineChars="200"/>
        <w:rPr>
          <w:rFonts w:hint="default" w:ascii="Times New Roman" w:hAnsi="Times New Roman" w:eastAsia="仿宋_GB2312" w:cs="Times New Roman"/>
          <w:iCs/>
          <w:color w:val="000000"/>
          <w:sz w:val="32"/>
          <w:szCs w:val="32"/>
        </w:rPr>
      </w:pPr>
      <m:oMath>
        <m:f>
          <m:fPr>
            <m:ctrlPr>
              <w:rPr>
                <w:rFonts w:hint="default" w:ascii="Cambria Math" w:hAnsi="Cambria Math" w:eastAsia="仿宋" w:cs="Times New Roman"/>
                <w:iCs/>
                <w:color w:val="000000" w:themeColor="text1"/>
                <w:sz w:val="24"/>
                <w:szCs w:val="24"/>
                <w14:textFill>
                  <w14:solidFill>
                    <w14:schemeClr w14:val="tx1"/>
                  </w14:solidFill>
                </w14:textFill>
              </w:rPr>
            </m:ctrlPr>
          </m:fPr>
          <m:num>
            <m:r>
              <m:rPr>
                <m:sty m:val="p"/>
              </m:rPr>
              <w:rPr>
                <w:rFonts w:hint="default" w:ascii="Cambria Math" w:hAnsi="Cambria Math" w:eastAsia="仿宋" w:cs="Times New Roman"/>
                <w:color w:val="000000" w:themeColor="text1"/>
                <w:sz w:val="24"/>
                <w:szCs w:val="24"/>
                <w14:textFill>
                  <w14:solidFill>
                    <w14:schemeClr w14:val="tx1"/>
                  </w14:solidFill>
                </w14:textFill>
              </w:rPr>
              <m:t>应急供水量</m:t>
            </m:r>
            <m:ctrlPr>
              <w:rPr>
                <w:rFonts w:hint="default" w:ascii="Cambria Math" w:hAnsi="Cambria Math" w:eastAsia="仿宋" w:cs="Times New Roman"/>
                <w:iCs/>
                <w:color w:val="000000" w:themeColor="text1"/>
                <w:sz w:val="24"/>
                <w:szCs w:val="24"/>
                <w14:textFill>
                  <w14:solidFill>
                    <w14:schemeClr w14:val="tx1"/>
                  </w14:solidFill>
                </w14:textFill>
              </w:rPr>
            </m:ctrlPr>
          </m:num>
          <m:den>
            <m:r>
              <m:rPr>
                <m:sty m:val="p"/>
              </m:rPr>
              <w:rPr>
                <w:rFonts w:hint="default" w:ascii="Cambria Math" w:hAnsi="Cambria Math" w:eastAsia="仿宋" w:cs="Times New Roman"/>
                <w:color w:val="000000" w:themeColor="text1"/>
                <w:sz w:val="24"/>
                <w:szCs w:val="24"/>
                <w14:textFill>
                  <w14:solidFill>
                    <w14:schemeClr w14:val="tx1"/>
                  </w14:solidFill>
                </w14:textFill>
              </w:rPr>
              <m:t>总供水能力</m:t>
            </m:r>
            <m:ctrlPr>
              <w:rPr>
                <w:rFonts w:hint="default" w:ascii="Cambria Math" w:hAnsi="Cambria Math" w:eastAsia="仿宋" w:cs="Times New Roman"/>
                <w:iCs/>
                <w:color w:val="000000" w:themeColor="text1"/>
                <w:sz w:val="24"/>
                <w:szCs w:val="24"/>
                <w14:textFill>
                  <w14:solidFill>
                    <w14:schemeClr w14:val="tx1"/>
                  </w14:solidFill>
                </w14:textFill>
              </w:rPr>
            </m:ctrlPr>
          </m:den>
        </m:f>
        <m:r>
          <m:rPr>
            <m:sty m:val="p"/>
          </m:rPr>
          <w:rPr>
            <w:rFonts w:hint="default" w:ascii="Cambria Math" w:hAnsi="Cambria Math" w:eastAsia="仿宋" w:cs="Times New Roman"/>
            <w:color w:val="000000" w:themeColor="text1"/>
            <w:sz w:val="24"/>
            <w:szCs w:val="24"/>
            <w14:textFill>
              <w14:solidFill>
                <w14:schemeClr w14:val="tx1"/>
              </w14:solidFill>
            </w14:textFill>
          </w:rPr>
          <m:t>×1</m:t>
        </m:r>
      </m:oMath>
      <w:r>
        <w:rPr>
          <w:rFonts w:hint="default" w:ascii="Times New Roman" w:hAnsi="Times New Roman" w:eastAsia="仿宋" w:cs="Times New Roman"/>
          <w:color w:val="000000" w:themeColor="text1"/>
          <w:sz w:val="24"/>
          <w:szCs w:val="24"/>
          <w14:textFill>
            <w14:solidFill>
              <w14:schemeClr w14:val="tx1"/>
            </w14:solidFill>
          </w14:textFill>
        </w:rPr>
        <w:t>00%</w:t>
      </w:r>
      <w:r>
        <w:rPr>
          <w:rFonts w:hint="default" w:ascii="Times New Roman" w:hAnsi="Times New Roman" w:eastAsia="仿宋" w:cs="Times New Roman"/>
          <w:iCs/>
          <w:color w:val="000000"/>
          <w:sz w:val="24"/>
          <w:szCs w:val="24"/>
        </w:rPr>
        <w:t>，</w:t>
      </w:r>
      <w:r>
        <w:rPr>
          <w:rFonts w:hint="default" w:ascii="Times New Roman" w:hAnsi="Times New Roman" w:eastAsia="仿宋_GB2312" w:cs="Times New Roman"/>
          <w:iCs/>
          <w:color w:val="000000"/>
          <w:sz w:val="32"/>
          <w:szCs w:val="32"/>
        </w:rPr>
        <w:t>计算单元为市辖区，由各市辖区统计后汇总。</w:t>
      </w:r>
    </w:p>
    <w:p w14:paraId="2644DDB7">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3B4CE365">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官方统计数据、行业部门填报数据。</w:t>
      </w:r>
    </w:p>
    <w:p w14:paraId="7E671F4F">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【参考标准】</w:t>
      </w:r>
    </w:p>
    <w:p w14:paraId="51DD7473">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关于加强城市供水安全保障工作的通知》（建办城〔2022〕41号）提出，到2025年，建立较为完善的城市供水全流程保障体系和基本健全的城市供水应急体系。各地要结合近年来城市供水面临的新形势、新问题、新挑战，完善供水应急预案，进一步明确在水源突发污染、旱涝急转等不同风险状况下的供水应急响应机制。加强供水水质监测预警，针对水源风险，研判潜在的特征污染物，督促供水企业加强相关应急净水材料、净水技术储备，完善应急净水工艺运行方案。单一水源城市供水主管部门要积极协调和配合有关部门加快应急水源或备用水源建设。国家供水应急救援基地所在省、城市应建立应急净水装备日常维护制度，落实运行维护经费，不断提高供水应急救援能力。《城市给水工程规划规范》</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GB50282-2016）要求，城市应急供水期间，居民生活用水指标不宜低于80L/（人·天），并应根据城市性质及特点，确定工业用水及其他用水的压缩量。《广州市供水系统总体规划（2021-2035年）》提出，至2025年，在应急供水状态下，供水压缩比综合用水确定为40%，工业用水确定为70%；至2035年，在应急供水状态下，供水压缩比综合用水确定为30%，工业用水确定为50%。根据以上，应急供水量应不低于供水能力的60%。</w:t>
      </w:r>
    </w:p>
    <w:p w14:paraId="7AFE9E5F">
      <w:pPr>
        <w:pStyle w:val="2"/>
        <w:ind w:firstLine="480"/>
        <w:rPr>
          <w:rFonts w:hint="default" w:ascii="Times New Roman" w:hAnsi="Times New Roman" w:eastAsia="仿宋_GB2312" w:cs="Times New Roman"/>
          <w:sz w:val="32"/>
          <w:szCs w:val="32"/>
        </w:rPr>
      </w:pPr>
    </w:p>
    <w:p w14:paraId="69D89DD4">
      <w:pPr>
        <w:spacing w:line="360" w:lineRule="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指标52：老旧燃气管网改造完成率（%</w:t>
      </w:r>
      <w:r>
        <w:rPr>
          <w:rFonts w:hint="default" w:ascii="Times New Roman" w:hAnsi="Times New Roman" w:eastAsia="仿宋_GB2312" w:cs="Times New Roman"/>
          <w:b/>
          <w:bCs/>
          <w:sz w:val="32"/>
          <w:szCs w:val="32"/>
        </w:rPr>
        <w:t>）</w:t>
      </w:r>
    </w:p>
    <w:p w14:paraId="2D8154C8">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4A5899EB">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到2025年基本完成城市老旧燃气管网改造的目标要求，调查分析市辖区建成区内老旧燃气管网更新改造长度，占老旧燃气管网总长度的百分比，查找城市老旧燃气管道和设施建设改造、运维养护等方面存在的差距和问题。</w:t>
      </w:r>
    </w:p>
    <w:p w14:paraId="49AE83B2">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【计</w:t>
      </w:r>
      <w:r>
        <w:rPr>
          <w:rFonts w:hint="default" w:ascii="Times New Roman" w:hAnsi="Times New Roman" w:eastAsia="仿宋_GB2312" w:cs="Times New Roman"/>
          <w:spacing w:val="1"/>
          <w:sz w:val="32"/>
          <w:szCs w:val="32"/>
        </w:rPr>
        <w:t>算方式】</w:t>
      </w:r>
    </w:p>
    <w:p w14:paraId="0411984D">
      <w:pPr>
        <w:spacing w:line="360" w:lineRule="auto"/>
        <w:ind w:firstLine="480" w:firstLineChars="200"/>
        <w:rPr>
          <w:rFonts w:hint="default" w:ascii="Times New Roman" w:hAnsi="Times New Roman" w:eastAsia="仿宋_GB2312" w:cs="Times New Roman"/>
          <w:iCs/>
          <w:color w:val="000000"/>
          <w:sz w:val="32"/>
          <w:szCs w:val="32"/>
        </w:rPr>
      </w:pPr>
      <m:oMath>
        <m:f>
          <m:fPr>
            <m:ctrlPr>
              <w:rPr>
                <w:rFonts w:hint="default" w:ascii="Cambria Math" w:hAnsi="Cambria Math" w:eastAsia="仿宋" w:cs="Times New Roman"/>
                <w:iCs/>
                <w:color w:val="000000" w:themeColor="text1"/>
                <w:sz w:val="24"/>
                <w:szCs w:val="24"/>
                <w14:textFill>
                  <w14:solidFill>
                    <w14:schemeClr w14:val="tx1"/>
                  </w14:solidFill>
                </w14:textFill>
              </w:rPr>
            </m:ctrlPr>
          </m:fPr>
          <m:num>
            <m:r>
              <m:rPr>
                <m:sty m:val="p"/>
              </m:rPr>
              <w:rPr>
                <w:rFonts w:hint="default" w:ascii="Cambria Math" w:hAnsi="Cambria Math" w:eastAsia="仿宋" w:cs="Times New Roman"/>
                <w:color w:val="000000" w:themeColor="text1"/>
                <w:sz w:val="24"/>
                <w:szCs w:val="24"/>
                <w14:textFill>
                  <w14:solidFill>
                    <w14:schemeClr w14:val="tx1"/>
                  </w14:solidFill>
                </w14:textFill>
              </w:rPr>
              <m:t>市辖区内老旧燃气管更新改造长度</m:t>
            </m:r>
            <m:ctrlPr>
              <w:rPr>
                <w:rFonts w:hint="default" w:ascii="Cambria Math" w:hAnsi="Cambria Math" w:eastAsia="仿宋" w:cs="Times New Roman"/>
                <w:iCs/>
                <w:color w:val="000000" w:themeColor="text1"/>
                <w:sz w:val="24"/>
                <w:szCs w:val="24"/>
                <w14:textFill>
                  <w14:solidFill>
                    <w14:schemeClr w14:val="tx1"/>
                  </w14:solidFill>
                </w14:textFill>
              </w:rPr>
            </m:ctrlPr>
          </m:num>
          <m:den>
            <m:r>
              <m:rPr>
                <m:sty m:val="p"/>
              </m:rPr>
              <w:rPr>
                <w:rFonts w:hint="default" w:ascii="Cambria Math" w:hAnsi="Cambria Math" w:eastAsia="仿宋" w:cs="Times New Roman"/>
                <w:color w:val="000000" w:themeColor="text1"/>
                <w:sz w:val="24"/>
                <w:szCs w:val="24"/>
                <w14:textFill>
                  <w14:solidFill>
                    <w14:schemeClr w14:val="tx1"/>
                  </w14:solidFill>
                </w14:textFill>
              </w:rPr>
              <m:t>市辖区内老旧燃气管总长度</m:t>
            </m:r>
            <m:ctrlPr>
              <w:rPr>
                <w:rFonts w:hint="default" w:ascii="Cambria Math" w:hAnsi="Cambria Math" w:eastAsia="仿宋" w:cs="Times New Roman"/>
                <w:iCs/>
                <w:color w:val="000000" w:themeColor="text1"/>
                <w:sz w:val="24"/>
                <w:szCs w:val="24"/>
                <w14:textFill>
                  <w14:solidFill>
                    <w14:schemeClr w14:val="tx1"/>
                  </w14:solidFill>
                </w14:textFill>
              </w:rPr>
            </m:ctrlPr>
          </m:den>
        </m:f>
        <m:r>
          <m:rPr>
            <m:sty m:val="p"/>
          </m:rPr>
          <w:rPr>
            <w:rFonts w:hint="default" w:ascii="Cambria Math" w:hAnsi="Cambria Math" w:eastAsia="仿宋" w:cs="Times New Roman"/>
            <w:spacing w:val="-12"/>
            <w:sz w:val="24"/>
            <w:szCs w:val="24"/>
          </w:rPr>
          <m:t>×100%</m:t>
        </m:r>
      </m:oMath>
      <w:r>
        <w:rPr>
          <w:rFonts w:hint="default" w:ascii="Times New Roman" w:hAnsi="Times New Roman" w:eastAsia="仿宋" w:cs="Times New Roman"/>
          <w:iCs/>
          <w:color w:val="000000"/>
          <w:sz w:val="24"/>
          <w:szCs w:val="24"/>
        </w:rPr>
        <w:t>，</w:t>
      </w:r>
      <w:r>
        <w:rPr>
          <w:rFonts w:hint="default" w:ascii="Times New Roman" w:hAnsi="Times New Roman" w:eastAsia="仿宋_GB2312" w:cs="Times New Roman"/>
          <w:spacing w:val="-20"/>
          <w:sz w:val="32"/>
          <w:szCs w:val="32"/>
        </w:rPr>
        <w:t>计算单元为市辖区，由各市辖</w:t>
      </w:r>
      <w:r>
        <w:rPr>
          <w:rFonts w:hint="default" w:ascii="Times New Roman" w:hAnsi="Times New Roman" w:eastAsia="仿宋_GB2312" w:cs="Times New Roman"/>
          <w:spacing w:val="-11"/>
          <w:sz w:val="32"/>
          <w:szCs w:val="32"/>
        </w:rPr>
        <w:t>区</w:t>
      </w:r>
      <w:r>
        <w:rPr>
          <w:rFonts w:hint="default" w:ascii="Times New Roman" w:hAnsi="Times New Roman" w:eastAsia="仿宋_GB2312" w:cs="Times New Roman"/>
          <w:spacing w:val="-9"/>
          <w:sz w:val="32"/>
          <w:szCs w:val="32"/>
        </w:rPr>
        <w:t>统计后汇总。</w:t>
      </w:r>
    </w:p>
    <w:p w14:paraId="5FEC303C">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6EDA2430">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官方统计数据、行业部门填报数据。</w:t>
      </w:r>
    </w:p>
    <w:p w14:paraId="38EE3470">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【参考标准】</w:t>
      </w:r>
    </w:p>
    <w:p w14:paraId="49DB1360">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国务院办公厅印发的《城市燃气管道等老化更新改造实施方案（2022-2025年）》中，明确要加快开展城市燃气管道等老化更新改造工作，彻底消除安全隐患。2022年抓紧启动实施一批老化更新改造项目，2025年底前，基本完成城市燃气管道等老化更新改造任务。</w:t>
      </w:r>
    </w:p>
    <w:p w14:paraId="62FCE24E">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（2）住房和城乡建设部办公厅国家发展改革委办公厅印发《城市燃气管道老化评估工作指南》要求，对老旧燃气管道评估结果为“限期改造”的，要明确具体时间，具体时间不大于3年，即不晚于2025年。</w:t>
      </w:r>
    </w:p>
    <w:p w14:paraId="5ABEA02D">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（3）按照到2025年基本完成城市老旧燃气管网改造的目标，各城市要确定本年度改造计划，结合城市基础设施更新改造工程、城市基础设施生命线建设工程，更新改造老旧燃气管网，消除安全隐患。</w:t>
      </w:r>
    </w:p>
    <w:p w14:paraId="2FEBE6A9">
      <w:pPr>
        <w:pStyle w:val="2"/>
        <w:ind w:firstLine="480"/>
        <w:rPr>
          <w:rFonts w:hint="default" w:ascii="Times New Roman" w:hAnsi="Times New Roman" w:cs="Times New Roman"/>
          <w:sz w:val="24"/>
        </w:rPr>
      </w:pPr>
    </w:p>
    <w:p w14:paraId="30E92947">
      <w:pPr>
        <w:spacing w:line="360" w:lineRule="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6"/>
          <w:sz w:val="32"/>
          <w:szCs w:val="32"/>
        </w:rPr>
        <w:t>指标5</w:t>
      </w:r>
      <w:r>
        <w:rPr>
          <w:rFonts w:hint="default" w:ascii="Times New Roman" w:hAnsi="Times New Roman" w:eastAsia="仿宋_GB2312" w:cs="Times New Roman"/>
          <w:b/>
          <w:bCs/>
          <w:spacing w:val="3"/>
          <w:sz w:val="32"/>
          <w:szCs w:val="32"/>
        </w:rPr>
        <w:t>3：城市地下综合管廊的道路占比（%）</w:t>
      </w:r>
    </w:p>
    <w:p w14:paraId="28444F5F">
      <w:pPr>
        <w:spacing w:line="360" w:lineRule="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【指标解释】</w:t>
      </w:r>
    </w:p>
    <w:p w14:paraId="6DAC82E9">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按照新区城市地下管廊的道路占比≥30%，建成区≥2%的要求，调查分析市辖区建成区内地下管廊长度占道路长度的比例，查找城市地下管廊系统布局以及干、支线管廊发展等方面存在的差距和问题。</w:t>
      </w:r>
    </w:p>
    <w:p w14:paraId="38608013">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【计算方式】</w:t>
      </w:r>
    </w:p>
    <w:p w14:paraId="5144146E">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计算单元为市辖区建成区，由各市辖区统计城市地下综合管廊长度后汇总。</w:t>
      </w:r>
    </w:p>
    <w:p w14:paraId="11D9C5EB">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0E8C10F9">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官方统计数据、行业部门填报数据。</w:t>
      </w:r>
    </w:p>
    <w:p w14:paraId="4D7BB4BC">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【参考标准】</w:t>
      </w:r>
    </w:p>
    <w:p w14:paraId="30D19BFC">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国务院高度重视推进城市地下综合管廊建设，2013年以来先后印发了《国务院关于加强城市基础设施建设的意见》（国发〔2013〕36号）、《国务院办公厅关于加强城市地下管线建设管理的指导意见》（国办发〔2015〕61号），部署开展城市地下综合管廊建设试点工作。根据《“十四五”全国城市基础设施建设规划》中对地下综合管廊的要求，因地制宜推进地下综合管廊系统建设，提高管线建设体系化水平和安全运行保障能力，在城市老旧管网改造等工作中协同推进综合管廊建设。</w:t>
      </w:r>
    </w:p>
    <w:p w14:paraId="1EC5A1DD">
      <w:pPr>
        <w:pStyle w:val="2"/>
        <w:ind w:firstLine="480"/>
        <w:rPr>
          <w:rFonts w:hint="default" w:ascii="Times New Roman" w:hAnsi="Times New Roman" w:eastAsia="仿宋_GB2312" w:cs="Times New Roman"/>
          <w:sz w:val="32"/>
          <w:szCs w:val="32"/>
        </w:rPr>
      </w:pPr>
    </w:p>
    <w:p w14:paraId="0C8A3607">
      <w:pPr>
        <w:spacing w:line="360" w:lineRule="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6"/>
          <w:sz w:val="32"/>
          <w:szCs w:val="32"/>
        </w:rPr>
        <w:t>指标5</w:t>
      </w:r>
      <w:r>
        <w:rPr>
          <w:rFonts w:hint="default" w:ascii="Times New Roman" w:hAnsi="Times New Roman" w:eastAsia="仿宋_GB2312" w:cs="Times New Roman"/>
          <w:b/>
          <w:bCs/>
          <w:spacing w:val="5"/>
          <w:sz w:val="32"/>
          <w:szCs w:val="32"/>
        </w:rPr>
        <w:t>4</w:t>
      </w:r>
      <w:r>
        <w:rPr>
          <w:rFonts w:hint="default" w:ascii="Times New Roman" w:hAnsi="Times New Roman" w:eastAsia="仿宋_GB2312" w:cs="Times New Roman"/>
          <w:b/>
          <w:bCs/>
          <w:spacing w:val="3"/>
          <w:sz w:val="32"/>
          <w:szCs w:val="32"/>
        </w:rPr>
        <w:t>：城市消防站服务半径覆盖率（%）</w:t>
      </w:r>
    </w:p>
    <w:p w14:paraId="52D75C93">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6499CBC8">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城市消防站建设标准》要求，调查分析市辖区建成区内各类消防站服务半径覆盖的建设用地面积，占建设用地总面积的百分比，查找城市消防站建设规模不足、布局不均衡、人员配备及消防装备配置不完备等方面的问题。</w:t>
      </w:r>
    </w:p>
    <w:p w14:paraId="4BD630FD">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【计</w:t>
      </w:r>
      <w:r>
        <w:rPr>
          <w:rFonts w:hint="default" w:ascii="Times New Roman" w:hAnsi="Times New Roman" w:eastAsia="仿宋_GB2312" w:cs="Times New Roman"/>
          <w:spacing w:val="1"/>
          <w:sz w:val="32"/>
          <w:szCs w:val="32"/>
        </w:rPr>
        <w:t>算方式】</w:t>
      </w:r>
    </w:p>
    <w:p w14:paraId="435CFCC8">
      <w:pPr>
        <w:spacing w:line="360" w:lineRule="auto"/>
        <w:ind w:firstLine="480" w:firstLineChars="200"/>
        <w:rPr>
          <w:rFonts w:hint="default" w:ascii="Times New Roman" w:hAnsi="Times New Roman" w:eastAsia="仿宋" w:cs="Times New Roman"/>
          <w:iCs/>
          <w:color w:val="000000"/>
          <w:sz w:val="24"/>
          <w:szCs w:val="24"/>
        </w:rPr>
      </w:pPr>
      <m:oMath>
        <m:f>
          <m:fPr>
            <m:ctrlPr>
              <w:rPr>
                <w:rFonts w:hint="default" w:ascii="Cambria Math" w:hAnsi="Cambria Math" w:eastAsia="仿宋" w:cs="Times New Roman"/>
                <w:iCs/>
                <w:color w:val="000000" w:themeColor="text1"/>
                <w:sz w:val="24"/>
                <w:szCs w:val="24"/>
                <w14:textFill>
                  <w14:solidFill>
                    <w14:schemeClr w14:val="tx1"/>
                  </w14:solidFill>
                </w14:textFill>
              </w:rPr>
            </m:ctrlPr>
          </m:fPr>
          <m:num>
            <m:r>
              <m:rPr>
                <m:sty m:val="p"/>
              </m:rPr>
              <w:rPr>
                <w:rFonts w:hint="default" w:ascii="Cambria Math" w:hAnsi="Cambria Math" w:eastAsia="仿宋" w:cs="Times New Roman"/>
                <w:color w:val="000000" w:themeColor="text1"/>
                <w:sz w:val="24"/>
                <w:szCs w:val="24"/>
                <w14:textFill>
                  <w14:solidFill>
                    <w14:schemeClr w14:val="tx1"/>
                  </w14:solidFill>
                </w14:textFill>
              </w:rPr>
              <m:t>市辖区建成区内各类消防站服务半径覆盖的建设用地面积</m:t>
            </m:r>
            <m:ctrlPr>
              <w:rPr>
                <w:rFonts w:hint="default" w:ascii="Cambria Math" w:hAnsi="Cambria Math" w:eastAsia="仿宋" w:cs="Times New Roman"/>
                <w:iCs/>
                <w:color w:val="000000" w:themeColor="text1"/>
                <w:sz w:val="24"/>
                <w:szCs w:val="24"/>
                <w14:textFill>
                  <w14:solidFill>
                    <w14:schemeClr w14:val="tx1"/>
                  </w14:solidFill>
                </w14:textFill>
              </w:rPr>
            </m:ctrlPr>
          </m:num>
          <m:den>
            <m:r>
              <m:rPr>
                <m:sty m:val="p"/>
              </m:rPr>
              <w:rPr>
                <w:rFonts w:hint="default" w:ascii="Cambria Math" w:hAnsi="Cambria Math" w:eastAsia="仿宋" w:cs="Times New Roman"/>
                <w:color w:val="000000" w:themeColor="text1"/>
                <w:sz w:val="24"/>
                <w:szCs w:val="24"/>
                <w14:textFill>
                  <w14:solidFill>
                    <w14:schemeClr w14:val="tx1"/>
                  </w14:solidFill>
                </w14:textFill>
              </w:rPr>
              <m:t>市辖区建成区建设用地总面积</m:t>
            </m:r>
            <m:ctrlPr>
              <w:rPr>
                <w:rFonts w:hint="default" w:ascii="Cambria Math" w:hAnsi="Cambria Math" w:eastAsia="仿宋" w:cs="Times New Roman"/>
                <w:iCs/>
                <w:color w:val="000000" w:themeColor="text1"/>
                <w:sz w:val="24"/>
                <w:szCs w:val="24"/>
                <w14:textFill>
                  <w14:solidFill>
                    <w14:schemeClr w14:val="tx1"/>
                  </w14:solidFill>
                </w14:textFill>
              </w:rPr>
            </m:ctrlPr>
          </m:den>
        </m:f>
        <m:r>
          <m:rPr>
            <m:sty m:val="p"/>
          </m:rPr>
          <w:rPr>
            <w:rFonts w:hint="default" w:ascii="Cambria Math" w:hAnsi="Cambria Math" w:eastAsia="仿宋" w:cs="Times New Roman"/>
            <w:color w:val="000000" w:themeColor="text1"/>
            <w:sz w:val="24"/>
            <w:szCs w:val="24"/>
            <w14:textFill>
              <w14:solidFill>
                <w14:schemeClr w14:val="tx1"/>
              </w14:solidFill>
            </w14:textFill>
          </w:rPr>
          <m:t>×100%</m:t>
        </m:r>
      </m:oMath>
      <w:r>
        <w:rPr>
          <w:rFonts w:hint="default" w:ascii="Times New Roman" w:hAnsi="Times New Roman" w:eastAsia="仿宋" w:cs="Times New Roman"/>
          <w:iCs/>
          <w:color w:val="000000"/>
          <w:sz w:val="24"/>
          <w:szCs w:val="24"/>
        </w:rPr>
        <w:t>；</w:t>
      </w:r>
    </w:p>
    <w:p w14:paraId="2EFC1F52">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计算单元为建成区，由各市辖区统计后汇总。其中各类消防站服务半径参考《城市消防站建设标准》（建标152-2017）相关规定，一级站辖区面积按照7平方公里测算，二级站辖区面积按4平方公里测算，小型站辖区面积按2平方公里测算；特勤站兼有辖区灭火救援任务的，其辖区面积同一级站。</w:t>
      </w:r>
    </w:p>
    <w:p w14:paraId="28952238">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6890328C">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行业部门填报数据、商业大数据测算。</w:t>
      </w:r>
    </w:p>
    <w:p w14:paraId="2D4A984E">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【参考标准】</w:t>
      </w:r>
    </w:p>
    <w:p w14:paraId="2A3AE1C1">
      <w:pPr>
        <w:spacing w:line="360" w:lineRule="auto"/>
        <w:ind w:firstLine="640" w:firstLineChars="200"/>
        <w:rPr>
          <w:rFonts w:hint="default" w:ascii="Times New Roman" w:hAnsi="Times New Roman" w:eastAsia="仿宋_GB2312" w:cs="Times New Roman"/>
          <w:iCs/>
          <w:color w:val="000000"/>
          <w:sz w:val="32"/>
          <w:szCs w:val="32"/>
        </w:rPr>
      </w:pP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1</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2022年城市体检指标体系关于“城市标准消防站及小型普通消防站覆盖率（%）”指标的评价标准为：每年提高5个百分点；2025年≥75%。</w:t>
      </w:r>
    </w:p>
    <w:p w14:paraId="61A6F31B">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（2）根据2022年样本城市自体检报告相关数据，2021年底各样本城市标准消防站及小型普通消防站覆盖率平均值约为54%。</w:t>
      </w:r>
    </w:p>
    <w:p w14:paraId="7B23A1E5">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（3）按照消防队接到出动指令后5分钟内到达辖区边缘的原则，各城市要结合消防安全专项整治三年行动，完善公共消防设施，提高处置效能。</w:t>
      </w:r>
    </w:p>
    <w:p w14:paraId="51FA2C90">
      <w:pPr>
        <w:pStyle w:val="2"/>
        <w:ind w:firstLine="480"/>
        <w:rPr>
          <w:rFonts w:hint="default" w:ascii="Times New Roman" w:hAnsi="Times New Roman" w:eastAsia="仿宋_GB2312" w:cs="Times New Roman"/>
          <w:sz w:val="32"/>
          <w:szCs w:val="32"/>
        </w:rPr>
      </w:pPr>
    </w:p>
    <w:p w14:paraId="46A92F0D">
      <w:pPr>
        <w:spacing w:line="360" w:lineRule="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2"/>
          <w:sz w:val="32"/>
          <w:szCs w:val="32"/>
        </w:rPr>
        <w:t>指标55：安全距离不达标的加油加气加氢站数量（个）</w:t>
      </w:r>
    </w:p>
    <w:p w14:paraId="6330EF5C">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0068BCAB">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按照《汽车加油加气加氢站技术标准》要求，查找安全距离不符合要求的汽车加油加气加氢站数量，以及布局不合理、安全监管不到位等方面的问题。</w:t>
      </w:r>
    </w:p>
    <w:p w14:paraId="257CA6C5">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【计算方式】</w:t>
      </w:r>
    </w:p>
    <w:p w14:paraId="3A1D465E">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市辖区建成区内安全距离不达标的汽车加油加气加氢站的数量，计算单元为建成区，由各市辖区统计后汇总。</w:t>
      </w:r>
    </w:p>
    <w:p w14:paraId="50C0FFF6">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595EBB00">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行业部门填报数据、遥感数据测算。</w:t>
      </w:r>
    </w:p>
    <w:p w14:paraId="7657F80C">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【参考标准】</w:t>
      </w:r>
    </w:p>
    <w:p w14:paraId="5B1BA064">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（1）当前对于新建加油站，其选址安全及规划建设标准问题，已有《汽车加油加气加氢站技术标准》（GB50156-2021）、《城市道路交通规划设计规范》</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GB50220-95</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建筑设计防火规范》（GB50016-2014）等相关规范对此做出规定。其中加油站规划选址选择应符合相关规划、环境保护和防火安全要求，并对于加油站中工艺设备与站外建筑之间的安全间距做出明确规定，其中如距离重要公共建筑物满足35米以上间距，距离民用建筑根据保护类别不同，有7-17.5米不等的防护间距。</w:t>
      </w:r>
    </w:p>
    <w:p w14:paraId="64E641FD">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（2）对于既有加油站等项目，涉及到相邻地区的居住区的选址与规划建设审批工作，选址必须符合《汽车加油加气加氢站技术标准》（GB50156-2021）中关于加油站与站外建（构）筑物的安全间距防护要求。</w:t>
      </w:r>
    </w:p>
    <w:p w14:paraId="571DDD39">
      <w:pPr>
        <w:pStyle w:val="2"/>
        <w:ind w:firstLine="480"/>
        <w:rPr>
          <w:rFonts w:hint="default" w:ascii="Times New Roman" w:hAnsi="Times New Roman" w:eastAsia="仿宋_GB2312" w:cs="Times New Roman"/>
          <w:sz w:val="32"/>
          <w:szCs w:val="32"/>
        </w:rPr>
      </w:pPr>
    </w:p>
    <w:p w14:paraId="3E2FF79E">
      <w:pPr>
        <w:spacing w:line="360" w:lineRule="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指标56：</w:t>
      </w:r>
      <w:r>
        <w:rPr>
          <w:rFonts w:hint="default" w:ascii="Times New Roman" w:hAnsi="Times New Roman" w:eastAsia="仿宋_GB2312" w:cs="Times New Roman"/>
          <w:b/>
          <w:bCs/>
          <w:spacing w:val="2"/>
          <w:sz w:val="32"/>
          <w:szCs w:val="32"/>
        </w:rPr>
        <w:t>人均避难场所有效避难面积（平方米/人）</w:t>
      </w:r>
    </w:p>
    <w:p w14:paraId="32DAD379">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71828F32">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按照人均避难场所的有效避难面积达到2平方米/人的要求，调查分析市辖区建成区内避难场所有效避难面积，占常住人口总数的比例，查找城市应急避难场所规模、布局及配套设施等方面存在的差距和问题。</w:t>
      </w:r>
    </w:p>
    <w:p w14:paraId="001A04A3">
      <w:pPr>
        <w:spacing w:line="360" w:lineRule="auto"/>
        <w:rPr>
          <w:rFonts w:hint="default" w:ascii="Times New Roman" w:hAnsi="Times New Roman" w:eastAsia="仿宋_GB2312" w:cs="Times New Roman"/>
          <w:spacing w:val="-20"/>
          <w:sz w:val="32"/>
          <w:szCs w:val="32"/>
        </w:rPr>
      </w:pPr>
      <w:r>
        <w:rPr>
          <w:rFonts w:hint="default" w:ascii="Times New Roman" w:hAnsi="Times New Roman" w:eastAsia="仿宋_GB2312" w:cs="Times New Roman"/>
          <w:spacing w:val="2"/>
          <w:sz w:val="32"/>
          <w:szCs w:val="32"/>
        </w:rPr>
        <w:t>【计</w:t>
      </w:r>
      <w:r>
        <w:rPr>
          <w:rFonts w:hint="default" w:ascii="Times New Roman" w:hAnsi="Times New Roman" w:eastAsia="仿宋_GB2312" w:cs="Times New Roman"/>
          <w:spacing w:val="1"/>
          <w:sz w:val="32"/>
          <w:szCs w:val="32"/>
        </w:rPr>
        <w:t>算方式】</w:t>
      </w:r>
    </w:p>
    <w:p w14:paraId="0FA54BA4">
      <w:pPr>
        <w:spacing w:line="360" w:lineRule="auto"/>
        <w:ind w:firstLine="480" w:firstLineChars="200"/>
        <w:rPr>
          <w:rFonts w:hint="default" w:ascii="Times New Roman" w:hAnsi="Times New Roman" w:eastAsia="仿宋_GB2312" w:cs="Times New Roman"/>
          <w:iCs/>
          <w:color w:val="000000"/>
          <w:sz w:val="32"/>
          <w:szCs w:val="32"/>
        </w:rPr>
      </w:pPr>
      <m:oMath>
        <m:f>
          <m:fPr>
            <m:ctrlPr>
              <w:rPr>
                <w:rFonts w:hint="default" w:ascii="Cambria Math" w:hAnsi="Cambria Math" w:eastAsia="仿宋" w:cs="Times New Roman"/>
                <w:iCs/>
                <w:color w:val="000000" w:themeColor="text1"/>
                <w:sz w:val="24"/>
                <w:szCs w:val="24"/>
                <w14:textFill>
                  <w14:solidFill>
                    <w14:schemeClr w14:val="tx1"/>
                  </w14:solidFill>
                </w14:textFill>
              </w:rPr>
            </m:ctrlPr>
          </m:fPr>
          <m:num>
            <m:r>
              <m:rPr>
                <m:sty m:val="p"/>
              </m:rPr>
              <w:rPr>
                <w:rFonts w:hint="default" w:ascii="Cambria Math" w:hAnsi="Cambria Math" w:eastAsia="仿宋" w:cs="Times New Roman"/>
                <w:color w:val="000000" w:themeColor="text1"/>
                <w:sz w:val="24"/>
                <w:szCs w:val="24"/>
                <w14:textFill>
                  <w14:solidFill>
                    <w14:schemeClr w14:val="tx1"/>
                  </w14:solidFill>
                </w14:textFill>
              </w:rPr>
              <m:t>市辖区建成区内避难场所有效避难面积</m:t>
            </m:r>
            <m:ctrlPr>
              <w:rPr>
                <w:rFonts w:hint="default" w:ascii="Cambria Math" w:hAnsi="Cambria Math" w:eastAsia="仿宋" w:cs="Times New Roman"/>
                <w:iCs/>
                <w:color w:val="000000" w:themeColor="text1"/>
                <w:sz w:val="24"/>
                <w:szCs w:val="24"/>
                <w14:textFill>
                  <w14:solidFill>
                    <w14:schemeClr w14:val="tx1"/>
                  </w14:solidFill>
                </w14:textFill>
              </w:rPr>
            </m:ctrlPr>
          </m:num>
          <m:den>
            <m:r>
              <m:rPr>
                <m:sty m:val="p"/>
              </m:rPr>
              <w:rPr>
                <w:rFonts w:hint="default" w:ascii="Cambria Math" w:hAnsi="Cambria Math" w:eastAsia="仿宋" w:cs="Times New Roman"/>
                <w:color w:val="000000" w:themeColor="text1"/>
                <w:sz w:val="24"/>
                <w:szCs w:val="24"/>
                <w14:textFill>
                  <w14:solidFill>
                    <w14:schemeClr w14:val="tx1"/>
                  </w14:solidFill>
                </w14:textFill>
              </w:rPr>
              <m:t>市辖区建成区常住人口总数</m:t>
            </m:r>
            <m:ctrlPr>
              <w:rPr>
                <w:rFonts w:hint="default" w:ascii="Cambria Math" w:hAnsi="Cambria Math" w:eastAsia="仿宋" w:cs="Times New Roman"/>
                <w:iCs/>
                <w:color w:val="000000" w:themeColor="text1"/>
                <w:sz w:val="24"/>
                <w:szCs w:val="24"/>
                <w14:textFill>
                  <w14:solidFill>
                    <w14:schemeClr w14:val="tx1"/>
                  </w14:solidFill>
                </w14:textFill>
              </w:rPr>
            </m:ctrlPr>
          </m:den>
        </m:f>
      </m:oMath>
      <w:r>
        <w:rPr>
          <w:rFonts w:hint="default" w:ascii="Times New Roman" w:hAnsi="Times New Roman" w:eastAsia="仿宋" w:cs="Times New Roman"/>
          <w:iCs/>
          <w:color w:val="000000"/>
          <w:sz w:val="24"/>
          <w:szCs w:val="24"/>
        </w:rPr>
        <w:t>，</w:t>
      </w:r>
      <w:r>
        <w:rPr>
          <w:rFonts w:hint="default" w:ascii="Times New Roman" w:hAnsi="Times New Roman" w:eastAsia="仿宋_GB2312" w:cs="Times New Roman"/>
          <w:iCs/>
          <w:color w:val="000000"/>
          <w:sz w:val="32"/>
          <w:szCs w:val="32"/>
        </w:rPr>
        <w:t>计算单元为建成区，由各市辖区统计后汇总。</w:t>
      </w:r>
    </w:p>
    <w:p w14:paraId="1F13BEE6">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485A7689">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官方统计数据、行业部门填报数据、遥感数据测算。</w:t>
      </w:r>
    </w:p>
    <w:p w14:paraId="7EB5C0AA">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【参考标准】</w:t>
      </w:r>
    </w:p>
    <w:p w14:paraId="2BDCF1F9">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（1）按照《防灾避难场所设计规范》</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GB51143-2015</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（2021版）中提出人均有效避难面积不应低于紧急0.5平方米、临时1平方米、短期2平方米、中期3平方米、长期4.5平方米。</w:t>
      </w:r>
    </w:p>
    <w:p w14:paraId="63FD621C">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按照《城市抗震防灾规划标准》中“紧急避震疏散场所人均有效避难面积不小于1平方米，固定避震疏散场所人均有效避难面积不小于2平方米”的目标，各城市要结合城市更新行动，整合应急避难场所资源、加强各类型避难场所建设和应急保障设施配备，提升应急避难能力。</w:t>
      </w:r>
    </w:p>
    <w:p w14:paraId="683A33D1">
      <w:pPr>
        <w:pStyle w:val="2"/>
        <w:ind w:firstLine="480"/>
        <w:rPr>
          <w:rFonts w:hint="default" w:ascii="Times New Roman" w:hAnsi="Times New Roman" w:eastAsia="仿宋_GB2312" w:cs="Times New Roman"/>
          <w:sz w:val="32"/>
          <w:szCs w:val="32"/>
        </w:rPr>
      </w:pPr>
    </w:p>
    <w:p w14:paraId="3ECE6C5D">
      <w:pPr>
        <w:spacing w:line="360" w:lineRule="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6"/>
          <w:sz w:val="32"/>
          <w:szCs w:val="32"/>
        </w:rPr>
        <w:t>指标</w:t>
      </w:r>
      <w:r>
        <w:rPr>
          <w:rFonts w:hint="default" w:ascii="Times New Roman" w:hAnsi="Times New Roman" w:eastAsia="仿宋_GB2312" w:cs="Times New Roman"/>
          <w:b/>
          <w:bCs/>
          <w:spacing w:val="4"/>
          <w:sz w:val="32"/>
          <w:szCs w:val="32"/>
        </w:rPr>
        <w:t>5</w:t>
      </w:r>
      <w:r>
        <w:rPr>
          <w:rFonts w:hint="default" w:ascii="Times New Roman" w:hAnsi="Times New Roman" w:eastAsia="仿宋_GB2312" w:cs="Times New Roman"/>
          <w:b/>
          <w:bCs/>
          <w:spacing w:val="3"/>
          <w:sz w:val="32"/>
          <w:szCs w:val="32"/>
        </w:rPr>
        <w:t>7：市政管网管线智能化监测管理率（%）</w:t>
      </w:r>
    </w:p>
    <w:p w14:paraId="199B07EE">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5EC9B756">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市政管网管线智能化监测管理率直辖市、省会城市和计划单列市≥30%、地级市≥15%的目标要求，调查分析市辖区内城市供水、排水、燃气、供热等管线中，可由物联网等技术进行智能化监测管理的管线长度，占市政管网管线总长度的百分比，查找城市在管网漏损、运行安全等在线监测、及时预警和应急处置能力等方面存在的差距和问题。</w:t>
      </w:r>
    </w:p>
    <w:p w14:paraId="4D4669C5">
      <w:pPr>
        <w:spacing w:line="360" w:lineRule="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【计算方式】</w:t>
      </w:r>
    </w:p>
    <w:p w14:paraId="06D2EDE4">
      <w:pPr>
        <w:spacing w:line="360" w:lineRule="auto"/>
        <w:ind w:firstLine="480" w:firstLineChars="200"/>
        <w:rPr>
          <w:rFonts w:hint="default" w:ascii="Times New Roman" w:hAnsi="Times New Roman" w:eastAsia="仿宋_GB2312" w:cs="Times New Roman"/>
          <w:iCs/>
          <w:color w:val="000000"/>
          <w:sz w:val="32"/>
          <w:szCs w:val="32"/>
        </w:rPr>
      </w:pPr>
      <m:oMath>
        <m:f>
          <m:fPr>
            <m:ctrlPr>
              <w:rPr>
                <w:rFonts w:hint="default" w:ascii="Cambria Math" w:hAnsi="Cambria Math" w:eastAsia="仿宋" w:cs="Times New Roman"/>
                <w:iCs/>
                <w:color w:val="000000" w:themeColor="text1"/>
                <w:sz w:val="24"/>
                <w:szCs w:val="24"/>
                <w14:textFill>
                  <w14:solidFill>
                    <w14:schemeClr w14:val="tx1"/>
                  </w14:solidFill>
                </w14:textFill>
              </w:rPr>
            </m:ctrlPr>
          </m:fPr>
          <m:num>
            <m:r>
              <m:rPr>
                <m:sty m:val="p"/>
              </m:rPr>
              <w:rPr>
                <w:rFonts w:hint="default" w:ascii="Cambria Math" w:hAnsi="Cambria Math" w:eastAsia="仿宋" w:cs="Times New Roman"/>
                <w:color w:val="000000" w:themeColor="text1"/>
                <w:sz w:val="24"/>
                <w:szCs w:val="24"/>
                <w14:textFill>
                  <w14:solidFill>
                    <w14:schemeClr w14:val="tx1"/>
                  </w14:solidFill>
                </w14:textFill>
              </w:rPr>
              <m:t>市辖区内可由物联网等技术进行智能化监测管理的供水、排水、燃气、供热管线长度</m:t>
            </m:r>
            <m:ctrlPr>
              <w:rPr>
                <w:rFonts w:hint="default" w:ascii="Cambria Math" w:hAnsi="Cambria Math" w:eastAsia="仿宋" w:cs="Times New Roman"/>
                <w:iCs/>
                <w:color w:val="000000" w:themeColor="text1"/>
                <w:sz w:val="24"/>
                <w:szCs w:val="24"/>
                <w14:textFill>
                  <w14:solidFill>
                    <w14:schemeClr w14:val="tx1"/>
                  </w14:solidFill>
                </w14:textFill>
              </w:rPr>
            </m:ctrlPr>
          </m:num>
          <m:den>
            <m:r>
              <m:rPr>
                <m:sty m:val="p"/>
              </m:rPr>
              <w:rPr>
                <w:rFonts w:hint="default" w:ascii="Cambria Math" w:hAnsi="Cambria Math" w:eastAsia="仿宋" w:cs="Times New Roman"/>
                <w:color w:val="000000" w:themeColor="text1"/>
                <w:sz w:val="24"/>
                <w:szCs w:val="24"/>
                <w14:textFill>
                  <w14:solidFill>
                    <w14:schemeClr w14:val="tx1"/>
                  </w14:solidFill>
                </w14:textFill>
              </w:rPr>
              <m:t>市辖区内城市供水、排水、燃气、供热管线总长度</m:t>
            </m:r>
            <m:ctrlPr>
              <w:rPr>
                <w:rFonts w:hint="default" w:ascii="Cambria Math" w:hAnsi="Cambria Math" w:eastAsia="仿宋" w:cs="Times New Roman"/>
                <w:iCs/>
                <w:color w:val="000000" w:themeColor="text1"/>
                <w:sz w:val="24"/>
                <w:szCs w:val="24"/>
                <w14:textFill>
                  <w14:solidFill>
                    <w14:schemeClr w14:val="tx1"/>
                  </w14:solidFill>
                </w14:textFill>
              </w:rPr>
            </m:ctrlPr>
          </m:den>
        </m:f>
        <m:r>
          <m:rPr>
            <m:sty m:val="p"/>
          </m:rPr>
          <w:rPr>
            <w:rFonts w:hint="default" w:ascii="Cambria Math" w:hAnsi="Cambria Math" w:eastAsia="仿宋" w:cs="Times New Roman"/>
            <w:color w:val="000000" w:themeColor="text1"/>
            <w:sz w:val="24"/>
            <w:szCs w:val="24"/>
            <w14:textFill>
              <w14:solidFill>
                <w14:schemeClr w14:val="tx1"/>
              </w14:solidFill>
            </w14:textFill>
          </w:rPr>
          <m:t>×1</m:t>
        </m:r>
      </m:oMath>
      <w:r>
        <w:rPr>
          <w:rFonts w:hint="default" w:ascii="Times New Roman" w:hAnsi="Times New Roman" w:eastAsia="仿宋" w:cs="Times New Roman"/>
          <w:iCs/>
          <w:color w:val="000000" w:themeColor="text1"/>
          <w:sz w:val="24"/>
          <w:szCs w:val="24"/>
          <w14:textFill>
            <w14:solidFill>
              <w14:schemeClr w14:val="tx1"/>
            </w14:solidFill>
          </w14:textFill>
        </w:rPr>
        <w:t>00%</w:t>
      </w:r>
      <w:r>
        <w:rPr>
          <w:rFonts w:hint="default" w:ascii="Times New Roman" w:hAnsi="Times New Roman" w:eastAsia="仿宋" w:cs="Times New Roman"/>
          <w:iCs/>
          <w:color w:val="000000"/>
          <w:sz w:val="24"/>
          <w:szCs w:val="24"/>
        </w:rPr>
        <w:t>，</w:t>
      </w:r>
      <w:r>
        <w:rPr>
          <w:rFonts w:hint="default" w:ascii="Times New Roman" w:hAnsi="Times New Roman" w:eastAsia="仿宋_GB2312" w:cs="Times New Roman"/>
          <w:iCs/>
          <w:color w:val="000000"/>
          <w:sz w:val="32"/>
          <w:szCs w:val="32"/>
        </w:rPr>
        <w:t>计算单元为建成区，由各市辖区统计后汇总。</w:t>
      </w:r>
    </w:p>
    <w:p w14:paraId="66AFCDEE">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2CA183D5">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官方统计数据、行业部门填报数据。</w:t>
      </w:r>
    </w:p>
    <w:p w14:paraId="3706F875">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【参考标准】</w:t>
      </w:r>
    </w:p>
    <w:p w14:paraId="241757B7">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直辖市、省会城市和计划单列市≥30%；地级市≥15%。参考《“十四五”全国城市基础设施建设规划》主要发展指标表，“市政管网管线智能化监测管理率（%）”2025年目标为：直辖市、省会城市和计划单列市≥30%；地级以上城市≥15%。</w:t>
      </w:r>
    </w:p>
    <w:p w14:paraId="1B0B7442">
      <w:pPr>
        <w:pStyle w:val="2"/>
        <w:ind w:firstLine="480"/>
        <w:rPr>
          <w:rFonts w:hint="default" w:ascii="Times New Roman" w:hAnsi="Times New Roman" w:cs="Times New Roman"/>
          <w:sz w:val="24"/>
        </w:rPr>
      </w:pPr>
    </w:p>
    <w:p w14:paraId="736E6BE9">
      <w:pPr>
        <w:spacing w:line="360" w:lineRule="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8"/>
          <w:sz w:val="32"/>
          <w:szCs w:val="32"/>
        </w:rPr>
        <w:t>指标</w:t>
      </w:r>
      <w:r>
        <w:rPr>
          <w:rFonts w:hint="default" w:ascii="Times New Roman" w:hAnsi="Times New Roman" w:eastAsia="仿宋_GB2312" w:cs="Times New Roman"/>
          <w:b/>
          <w:bCs/>
          <w:spacing w:val="5"/>
          <w:sz w:val="32"/>
          <w:szCs w:val="32"/>
        </w:rPr>
        <w:t>5</w:t>
      </w:r>
      <w:r>
        <w:rPr>
          <w:rFonts w:hint="default" w:ascii="Times New Roman" w:hAnsi="Times New Roman" w:eastAsia="仿宋_GB2312" w:cs="Times New Roman"/>
          <w:b/>
          <w:bCs/>
          <w:spacing w:val="4"/>
          <w:sz w:val="32"/>
          <w:szCs w:val="32"/>
        </w:rPr>
        <w:t>8：建筑施工危险性较大的分部分项工程安全监测覆盖率（%）</w:t>
      </w:r>
    </w:p>
    <w:p w14:paraId="6CDBFA44">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4BC8754E">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安全生产法关于“推行网上安全信息采集、安全监管和监测预警”的要求，调查分析市辖区房屋市政工程建筑起重机械、深基坑、高支模、城市轨道交通及市政隧道等安全风险监测数据接入城市房屋市政工程安全监管信息系统的项目数，占房屋市政工程在建工地数量的百分比，查找城市运用信息化手段，防范化解房屋市政工程领域重大安全风险方面存在的差距和问题。</w:t>
      </w:r>
    </w:p>
    <w:p w14:paraId="17B608A2">
      <w:pPr>
        <w:spacing w:line="360" w:lineRule="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w:t>
      </w:r>
      <w:r>
        <w:rPr>
          <w:rFonts w:hint="default" w:ascii="Times New Roman" w:hAnsi="Times New Roman" w:eastAsia="仿宋_GB2312" w:cs="Times New Roman"/>
          <w:spacing w:val="2"/>
          <w:sz w:val="32"/>
          <w:szCs w:val="32"/>
        </w:rPr>
        <w:t>计</w:t>
      </w:r>
      <w:r>
        <w:rPr>
          <w:rFonts w:hint="default" w:ascii="Times New Roman" w:hAnsi="Times New Roman" w:eastAsia="仿宋_GB2312" w:cs="Times New Roman"/>
          <w:spacing w:val="1"/>
          <w:sz w:val="32"/>
          <w:szCs w:val="32"/>
        </w:rPr>
        <w:t>算方式】</w:t>
      </w:r>
    </w:p>
    <w:p w14:paraId="4160DC9A">
      <w:pPr>
        <w:spacing w:line="360" w:lineRule="auto"/>
        <w:ind w:firstLine="480" w:firstLineChars="200"/>
        <w:rPr>
          <w:rFonts w:hint="default" w:ascii="Times New Roman" w:hAnsi="Times New Roman" w:eastAsia="仿宋_GB2312" w:cs="Times New Roman"/>
          <w:iCs/>
          <w:color w:val="000000"/>
          <w:sz w:val="32"/>
          <w:szCs w:val="32"/>
        </w:rPr>
      </w:pPr>
      <m:oMath>
        <m:f>
          <m:fPr>
            <m:ctrlPr>
              <w:rPr>
                <w:rFonts w:hint="default" w:ascii="Cambria Math" w:hAnsi="Cambria Math" w:eastAsia="仿宋" w:cs="Times New Roman"/>
                <w:iCs/>
                <w:color w:val="000000" w:themeColor="text1"/>
                <w:sz w:val="24"/>
                <w:szCs w:val="24"/>
                <w14:textFill>
                  <w14:solidFill>
                    <w14:schemeClr w14:val="tx1"/>
                  </w14:solidFill>
                </w14:textFill>
              </w:rPr>
            </m:ctrlPr>
          </m:fPr>
          <m:num>
            <m:r>
              <m:rPr>
                <m:sty m:val="p"/>
              </m:rPr>
              <w:rPr>
                <w:rFonts w:hint="default" w:ascii="Cambria Math" w:hAnsi="Cambria Math" w:eastAsia="仿宋" w:cs="Times New Roman"/>
                <w:color w:val="000000" w:themeColor="text1"/>
                <w:sz w:val="24"/>
                <w:szCs w:val="24"/>
                <w14:textFill>
                  <w14:solidFill>
                    <w14:schemeClr w14:val="tx1"/>
                  </w14:solidFill>
                </w14:textFill>
              </w:rPr>
              <m:t>纳入监测网络的市辖区内具有危险性较大的建筑施工分部分项工程数量</m:t>
            </m:r>
            <m:ctrlPr>
              <w:rPr>
                <w:rFonts w:hint="default" w:ascii="Cambria Math" w:hAnsi="Cambria Math" w:eastAsia="仿宋" w:cs="Times New Roman"/>
                <w:iCs/>
                <w:color w:val="000000" w:themeColor="text1"/>
                <w:sz w:val="24"/>
                <w:szCs w:val="24"/>
                <w14:textFill>
                  <w14:solidFill>
                    <w14:schemeClr w14:val="tx1"/>
                  </w14:solidFill>
                </w14:textFill>
              </w:rPr>
            </m:ctrlPr>
          </m:num>
          <m:den>
            <m:r>
              <m:rPr>
                <m:sty m:val="p"/>
              </m:rPr>
              <w:rPr>
                <w:rFonts w:hint="default" w:ascii="Cambria Math" w:hAnsi="Cambria Math" w:eastAsia="仿宋" w:cs="Times New Roman"/>
                <w:color w:val="000000" w:themeColor="text1"/>
                <w:sz w:val="24"/>
                <w:szCs w:val="24"/>
                <w14:textFill>
                  <w14:solidFill>
                    <w14:schemeClr w14:val="tx1"/>
                  </w14:solidFill>
                </w14:textFill>
              </w:rPr>
              <m:t>市辖区内所有建筑施工分部分项工程数量</m:t>
            </m:r>
            <m:ctrlPr>
              <w:rPr>
                <w:rFonts w:hint="default" w:ascii="Cambria Math" w:hAnsi="Cambria Math" w:eastAsia="仿宋" w:cs="Times New Roman"/>
                <w:iCs/>
                <w:color w:val="000000" w:themeColor="text1"/>
                <w:sz w:val="24"/>
                <w:szCs w:val="24"/>
                <w14:textFill>
                  <w14:solidFill>
                    <w14:schemeClr w14:val="tx1"/>
                  </w14:solidFill>
                </w14:textFill>
              </w:rPr>
            </m:ctrlPr>
          </m:den>
        </m:f>
        <m:r>
          <m:rPr>
            <m:sty m:val="p"/>
          </m:rPr>
          <w:rPr>
            <w:rFonts w:hint="default" w:ascii="Cambria Math" w:hAnsi="Cambria Math" w:eastAsia="仿宋" w:cs="Times New Roman"/>
            <w:color w:val="000000" w:themeColor="text1"/>
            <w:sz w:val="24"/>
            <w:szCs w:val="24"/>
            <w14:textFill>
              <w14:solidFill>
                <w14:schemeClr w14:val="tx1"/>
              </w14:solidFill>
            </w14:textFill>
          </w:rPr>
          <m:t>×100%</m:t>
        </m:r>
      </m:oMath>
      <w:r>
        <w:rPr>
          <w:rFonts w:hint="default" w:ascii="Times New Roman" w:hAnsi="Times New Roman" w:eastAsia="仿宋" w:cs="Times New Roman"/>
          <w:iCs/>
          <w:color w:val="000000"/>
          <w:sz w:val="24"/>
          <w:szCs w:val="24"/>
        </w:rPr>
        <w:t>，</w:t>
      </w:r>
      <w:r>
        <w:rPr>
          <w:rFonts w:hint="default" w:ascii="Times New Roman" w:hAnsi="Times New Roman" w:eastAsia="仿宋_GB2312" w:cs="Times New Roman"/>
          <w:iCs/>
          <w:color w:val="000000"/>
          <w:sz w:val="32"/>
          <w:szCs w:val="32"/>
        </w:rPr>
        <w:t>计算单元为市辖区，由各市辖区统计后汇总。</w:t>
      </w:r>
    </w:p>
    <w:p w14:paraId="1FB41423">
      <w:pPr>
        <w:spacing w:line="360" w:lineRule="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39ED62A7">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官方统计数据、行业部门填报数据。</w:t>
      </w:r>
    </w:p>
    <w:p w14:paraId="75B9D374">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【参考标准】</w:t>
      </w:r>
    </w:p>
    <w:p w14:paraId="35496CB8">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100%。</w:t>
      </w:r>
    </w:p>
    <w:p w14:paraId="04A2D576">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危险性较大的分部分项工程安全管理规定》（住房和城乡建设部令第37号）指在房屋建筑和市政基础设施工程在施工过程中，容易导致人员群死群伤或者造成重大经济损失的分部分项工程。要求进行第三方监测的危大工程监测方案的主要内容应当包括：工程概况、监测依据、监测内容、监测方法、人员及设备、测点布置与保护、监测频次、预警标准及监测成果报送等。</w:t>
      </w:r>
    </w:p>
    <w:p w14:paraId="69CC467A">
      <w:pPr>
        <w:pStyle w:val="2"/>
        <w:ind w:firstLine="480"/>
        <w:rPr>
          <w:rFonts w:hint="default" w:ascii="Times New Roman" w:hAnsi="Times New Roman" w:eastAsia="仿宋_GB2312" w:cs="Times New Roman"/>
          <w:sz w:val="32"/>
          <w:szCs w:val="32"/>
        </w:rPr>
      </w:pPr>
    </w:p>
    <w:p w14:paraId="54A1BCB1">
      <w:pPr>
        <w:spacing w:line="360" w:lineRule="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6"/>
          <w:sz w:val="32"/>
          <w:szCs w:val="32"/>
        </w:rPr>
        <w:t>指</w:t>
      </w:r>
      <w:r>
        <w:rPr>
          <w:rFonts w:hint="default" w:ascii="Times New Roman" w:hAnsi="Times New Roman" w:eastAsia="仿宋_GB2312" w:cs="Times New Roman"/>
          <w:b/>
          <w:bCs/>
          <w:spacing w:val="5"/>
          <w:sz w:val="32"/>
          <w:szCs w:val="32"/>
        </w:rPr>
        <w:t>标</w:t>
      </w:r>
      <w:r>
        <w:rPr>
          <w:rFonts w:hint="default" w:ascii="Times New Roman" w:hAnsi="Times New Roman" w:eastAsia="仿宋_GB2312" w:cs="Times New Roman"/>
          <w:b/>
          <w:bCs/>
          <w:spacing w:val="3"/>
          <w:sz w:val="32"/>
          <w:szCs w:val="32"/>
        </w:rPr>
        <w:t>59：高层建筑智能化火灾监测预警覆盖率（%）</w:t>
      </w:r>
    </w:p>
    <w:p w14:paraId="325F216D">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09B610CF">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高层建筑智能化火灾监测预警覆盖率达到100%的目标要求，调查分析市辖区建成区内配置了智能化火灾监测预警系统的高层建筑楼栋数量，占建成区高层建筑楼栋总数的百分比，查找城市在运用消防远程监控、火灾报警等智能信息化管理方面存在的差距和问题。</w:t>
      </w:r>
    </w:p>
    <w:p w14:paraId="5059C8B2">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【计</w:t>
      </w:r>
      <w:r>
        <w:rPr>
          <w:rFonts w:hint="default" w:ascii="Times New Roman" w:hAnsi="Times New Roman" w:eastAsia="仿宋_GB2312" w:cs="Times New Roman"/>
          <w:spacing w:val="1"/>
          <w:sz w:val="32"/>
          <w:szCs w:val="32"/>
        </w:rPr>
        <w:t>算方式】</w:t>
      </w:r>
    </w:p>
    <w:p w14:paraId="401A0DE9">
      <w:pPr>
        <w:spacing w:line="360" w:lineRule="auto"/>
        <w:ind w:firstLine="480" w:firstLineChars="200"/>
        <w:rPr>
          <w:rFonts w:hint="default" w:ascii="Times New Roman" w:hAnsi="Times New Roman" w:eastAsia="仿宋_GB2312" w:cs="Times New Roman"/>
          <w:iCs/>
          <w:color w:val="000000"/>
          <w:sz w:val="32"/>
          <w:szCs w:val="32"/>
        </w:rPr>
      </w:pPr>
      <m:oMath>
        <m:f>
          <m:fPr>
            <m:ctrlPr>
              <w:rPr>
                <w:rFonts w:hint="default" w:ascii="Cambria Math" w:hAnsi="Cambria Math" w:eastAsia="仿宋" w:cs="Times New Roman"/>
                <w:iCs/>
                <w:color w:val="000000" w:themeColor="text1"/>
                <w:sz w:val="24"/>
                <w:szCs w:val="24"/>
                <w14:textFill>
                  <w14:solidFill>
                    <w14:schemeClr w14:val="tx1"/>
                  </w14:solidFill>
                </w14:textFill>
              </w:rPr>
            </m:ctrlPr>
          </m:fPr>
          <m:num>
            <m:r>
              <m:rPr>
                <m:sty m:val="p"/>
              </m:rPr>
              <w:rPr>
                <w:rFonts w:hint="default" w:ascii="Cambria Math" w:hAnsi="Cambria Math" w:eastAsia="仿宋" w:cs="Times New Roman"/>
                <w:color w:val="000000" w:themeColor="text1"/>
                <w:sz w:val="24"/>
                <w:szCs w:val="24"/>
                <w14:textFill>
                  <w14:solidFill>
                    <w14:schemeClr w14:val="tx1"/>
                  </w14:solidFill>
                </w14:textFill>
              </w:rPr>
              <m:t>市辖区建成区内配置了智能化火灾监测预警系统的高层建筑楼栋数量</m:t>
            </m:r>
            <m:ctrlPr>
              <w:rPr>
                <w:rFonts w:hint="default" w:ascii="Cambria Math" w:hAnsi="Cambria Math" w:eastAsia="仿宋" w:cs="Times New Roman"/>
                <w:iCs/>
                <w:color w:val="000000" w:themeColor="text1"/>
                <w:sz w:val="24"/>
                <w:szCs w:val="24"/>
                <w14:textFill>
                  <w14:solidFill>
                    <w14:schemeClr w14:val="tx1"/>
                  </w14:solidFill>
                </w14:textFill>
              </w:rPr>
            </m:ctrlPr>
          </m:num>
          <m:den>
            <m:r>
              <m:rPr>
                <m:sty m:val="p"/>
              </m:rPr>
              <w:rPr>
                <w:rFonts w:hint="default" w:ascii="Cambria Math" w:hAnsi="Cambria Math" w:eastAsia="仿宋" w:cs="Times New Roman"/>
                <w:color w:val="000000" w:themeColor="text1"/>
                <w:sz w:val="24"/>
                <w:szCs w:val="24"/>
                <w14:textFill>
                  <w14:solidFill>
                    <w14:schemeClr w14:val="tx1"/>
                  </w14:solidFill>
                </w14:textFill>
              </w:rPr>
              <m:t>建成区内高层建筑楼栋总数量</m:t>
            </m:r>
            <m:ctrlPr>
              <w:rPr>
                <w:rFonts w:hint="default" w:ascii="Cambria Math" w:hAnsi="Cambria Math" w:eastAsia="仿宋" w:cs="Times New Roman"/>
                <w:iCs/>
                <w:color w:val="000000" w:themeColor="text1"/>
                <w:sz w:val="24"/>
                <w:szCs w:val="24"/>
                <w14:textFill>
                  <w14:solidFill>
                    <w14:schemeClr w14:val="tx1"/>
                  </w14:solidFill>
                </w14:textFill>
              </w:rPr>
            </m:ctrlPr>
          </m:den>
        </m:f>
        <m:r>
          <m:rPr>
            <m:sty m:val="p"/>
          </m:rPr>
          <w:rPr>
            <w:rFonts w:hint="default" w:ascii="Cambria Math" w:hAnsi="Cambria Math" w:eastAsia="仿宋" w:cs="Times New Roman"/>
            <w:color w:val="000000" w:themeColor="text1"/>
            <w:sz w:val="24"/>
            <w:szCs w:val="24"/>
            <w14:textFill>
              <w14:solidFill>
                <w14:schemeClr w14:val="tx1"/>
              </w14:solidFill>
            </w14:textFill>
          </w:rPr>
          <m:t>×100%</m:t>
        </m:r>
      </m:oMath>
      <w:r>
        <w:rPr>
          <w:rFonts w:hint="default" w:ascii="Times New Roman" w:hAnsi="Times New Roman" w:eastAsia="仿宋" w:cs="Times New Roman"/>
          <w:iCs/>
          <w:color w:val="000000"/>
          <w:sz w:val="24"/>
          <w:szCs w:val="24"/>
        </w:rPr>
        <w:t>，</w:t>
      </w:r>
      <w:r>
        <w:rPr>
          <w:rFonts w:hint="default" w:ascii="Times New Roman" w:hAnsi="Times New Roman" w:eastAsia="仿宋_GB2312" w:cs="Times New Roman"/>
          <w:iCs/>
          <w:color w:val="000000"/>
          <w:sz w:val="32"/>
          <w:szCs w:val="32"/>
        </w:rPr>
        <w:t>单元为市辖区，由各市辖区统计后汇总。</w:t>
      </w:r>
    </w:p>
    <w:p w14:paraId="3E909A0B">
      <w:pPr>
        <w:spacing w:line="360" w:lineRule="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6DB719EB">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行业部门填报数据。</w:t>
      </w:r>
    </w:p>
    <w:p w14:paraId="4B6BAB89">
      <w:pPr>
        <w:spacing w:line="360" w:lineRule="auto"/>
        <w:rPr>
          <w:rFonts w:hint="default" w:ascii="Times New Roman" w:hAnsi="Times New Roman" w:eastAsia="仿宋_GB2312" w:cs="Times New Roman"/>
          <w:spacing w:val="-7"/>
          <w:sz w:val="32"/>
          <w:szCs w:val="32"/>
        </w:rPr>
      </w:pPr>
      <w:r>
        <w:rPr>
          <w:rFonts w:hint="default" w:ascii="Times New Roman" w:hAnsi="Times New Roman" w:eastAsia="仿宋_GB2312" w:cs="Times New Roman"/>
          <w:spacing w:val="1"/>
          <w:sz w:val="32"/>
          <w:szCs w:val="32"/>
        </w:rPr>
        <w:t>【参考标准】</w:t>
      </w:r>
    </w:p>
    <w:p w14:paraId="4BA78F39">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100%。</w:t>
      </w:r>
    </w:p>
    <w:p w14:paraId="087F8D11">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国务院安全生产委员会2022年印发的《“十四五”国家消防工作规划》中明确提出要提高火灾智能防控能力，包括要求积极融入“智慧城市”“智慧社区”、应急管理信息化体系、住房和城乡建设信息化体系，建立互联共享机制，加强火灾风险分析研判、早期识别和监测预警；鼓励有条件的乡镇（街道）建设消防物联网智能火灾监控平台，与本地区“智慧消防”系统联通；加强远程监控、物联网监测、电气监控等信息化手段运用等。</w:t>
      </w:r>
    </w:p>
    <w:p w14:paraId="2FB1278D">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高层民用建筑消防安全管理规定》（应急管理部第5号令）提出：鼓励高层民用建筑推广应用物联网和智能化技术手段对电气、燃气消防安全和消防设施运行等进行监控和预警。未设置自动消防设施的高层住宅建筑，鼓励因地制宜安装火灾报警和喷水灭火系统、火灾应急广播以及可燃气体探测、无线手动火灾报警、无线声光火灾警报等消防设施。</w:t>
      </w:r>
    </w:p>
    <w:p w14:paraId="02634892">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3）《国务院安委会办公室关于开展高层建筑重大火灾风险专项整治的通知》（安委办函〔2022〕37号）要求注重技防物防：要求各地区加强智能化火灾监测预警、电气火灾综合预警防控、消防安全管理云服务平台等科技应用，通过对高层建筑消防设施、安全出口、重点部位电气线路、燃气管线等重点部位实行动态监测，实现火灾及时预警、智能防控。鼓励老旧高层商住混合体、老旧高层住宅在建筑公共区域、厨房等部位，设置火灾探测器、火灾警报装置、自动灭火系统以及燃气泄漏报警器，做到险情早发现、早处置。</w:t>
      </w:r>
    </w:p>
    <w:p w14:paraId="2CD1A844">
      <w:pPr>
        <w:pStyle w:val="2"/>
        <w:ind w:firstLine="480"/>
        <w:rPr>
          <w:rFonts w:hint="default" w:ascii="Times New Roman" w:hAnsi="Times New Roman" w:eastAsia="仿宋_GB2312" w:cs="Times New Roman"/>
          <w:sz w:val="32"/>
          <w:szCs w:val="32"/>
        </w:rPr>
      </w:pPr>
    </w:p>
    <w:p w14:paraId="2B99F3A1">
      <w:pPr>
        <w:spacing w:line="360" w:lineRule="auto"/>
        <w:ind w:firstLine="18"/>
        <w:rPr>
          <w:rFonts w:hint="default" w:ascii="Times New Roman" w:hAnsi="Times New Roman" w:eastAsia="仿宋_GB2312" w:cs="Times New Roman"/>
          <w:b/>
          <w:bCs/>
          <w:spacing w:val="11"/>
          <w:sz w:val="32"/>
          <w:szCs w:val="32"/>
        </w:rPr>
      </w:pPr>
      <w:r>
        <w:rPr>
          <w:rFonts w:hint="default" w:ascii="Times New Roman" w:hAnsi="Times New Roman" w:eastAsia="仿宋_GB2312" w:cs="Times New Roman"/>
          <w:b/>
          <w:bCs/>
          <w:spacing w:val="21"/>
          <w:sz w:val="32"/>
          <w:szCs w:val="32"/>
        </w:rPr>
        <w:t>指</w:t>
      </w:r>
      <w:r>
        <w:rPr>
          <w:rFonts w:hint="default" w:ascii="Times New Roman" w:hAnsi="Times New Roman" w:eastAsia="仿宋_GB2312" w:cs="Times New Roman"/>
          <w:b/>
          <w:bCs/>
          <w:spacing w:val="11"/>
          <w:sz w:val="32"/>
          <w:szCs w:val="32"/>
        </w:rPr>
        <w:t>标60：城市信息模型（</w:t>
      </w:r>
      <w:r>
        <w:rPr>
          <w:rFonts w:hint="default" w:ascii="Times New Roman" w:hAnsi="Times New Roman" w:eastAsia="仿宋_GB2312" w:cs="Times New Roman"/>
          <w:b/>
          <w:bCs/>
          <w:sz w:val="32"/>
          <w:szCs w:val="32"/>
        </w:rPr>
        <w:t>CIM）</w:t>
      </w:r>
      <w:r>
        <w:rPr>
          <w:rFonts w:hint="default" w:ascii="Times New Roman" w:hAnsi="Times New Roman" w:eastAsia="仿宋_GB2312" w:cs="Times New Roman"/>
          <w:b/>
          <w:bCs/>
          <w:spacing w:val="11"/>
          <w:sz w:val="32"/>
          <w:szCs w:val="32"/>
        </w:rPr>
        <w:t>基础平台建设三维数据覆盖率（%）</w:t>
      </w:r>
    </w:p>
    <w:p w14:paraId="41EB0765">
      <w:pPr>
        <w:spacing w:line="360" w:lineRule="auto"/>
        <w:ind w:firstLine="18"/>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【指标解释】</w:t>
      </w:r>
    </w:p>
    <w:p w14:paraId="2412595E">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CIM基础平台建设三维数据覆盖率直辖市、省会城市和计划单列市≥60%、地级市≥30%的目标要求，调查分析城市CIM基础平台汇聚的三维数据投影面积，占建成区面积的百分比，查找城市全域三维模型覆盖、各领域应用等方面存在的差距和问题。</w:t>
      </w:r>
    </w:p>
    <w:p w14:paraId="35670709">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【计算方式】</w:t>
      </w:r>
    </w:p>
    <w:p w14:paraId="3C6CFFA1">
      <w:pPr>
        <w:spacing w:line="360" w:lineRule="auto"/>
        <w:ind w:firstLine="480" w:firstLineChars="200"/>
        <w:rPr>
          <w:rFonts w:hint="default" w:ascii="Times New Roman" w:hAnsi="Times New Roman" w:eastAsia="仿宋_GB2312" w:cs="Times New Roman"/>
          <w:iCs/>
          <w:color w:val="000000"/>
          <w:sz w:val="32"/>
          <w:szCs w:val="32"/>
        </w:rPr>
      </w:pPr>
      <m:oMath>
        <m:f>
          <m:fPr>
            <m:ctrlPr>
              <w:rPr>
                <w:rFonts w:hint="default" w:ascii="Cambria Math" w:hAnsi="Cambria Math" w:eastAsia="仿宋" w:cs="Times New Roman"/>
                <w:iCs/>
                <w:color w:val="000000" w:themeColor="text1"/>
                <w:sz w:val="24"/>
                <w:szCs w:val="24"/>
                <w14:textFill>
                  <w14:solidFill>
                    <w14:schemeClr w14:val="tx1"/>
                  </w14:solidFill>
                </w14:textFill>
              </w:rPr>
            </m:ctrlPr>
          </m:fPr>
          <m:num>
            <m:r>
              <m:rPr>
                <m:sty m:val="p"/>
              </m:rPr>
              <w:rPr>
                <w:rFonts w:hint="default" w:ascii="Cambria Math" w:hAnsi="Cambria Math" w:eastAsia="仿宋" w:cs="Times New Roman"/>
                <w:color w:val="000000" w:themeColor="text1"/>
                <w:sz w:val="24"/>
                <w:szCs w:val="24"/>
                <w14:textFill>
                  <w14:solidFill>
                    <w14:schemeClr w14:val="tx1"/>
                  </w14:solidFill>
                </w14:textFill>
              </w:rPr>
              <m:t>城市CIM基础平台汇聚的市辖区建成区内三维数据投影面积</m:t>
            </m:r>
            <m:ctrlPr>
              <w:rPr>
                <w:rFonts w:hint="default" w:ascii="Cambria Math" w:hAnsi="Cambria Math" w:eastAsia="仿宋" w:cs="Times New Roman"/>
                <w:iCs/>
                <w:color w:val="000000" w:themeColor="text1"/>
                <w:sz w:val="24"/>
                <w:szCs w:val="24"/>
                <w14:textFill>
                  <w14:solidFill>
                    <w14:schemeClr w14:val="tx1"/>
                  </w14:solidFill>
                </w14:textFill>
              </w:rPr>
            </m:ctrlPr>
          </m:num>
          <m:den>
            <m:r>
              <m:rPr>
                <m:sty m:val="p"/>
              </m:rPr>
              <w:rPr>
                <w:rFonts w:hint="default" w:ascii="Cambria Math" w:hAnsi="Cambria Math" w:eastAsia="仿宋" w:cs="Times New Roman"/>
                <w:color w:val="000000" w:themeColor="text1"/>
                <w:sz w:val="24"/>
                <w:szCs w:val="24"/>
                <w14:textFill>
                  <w14:solidFill>
                    <w14:schemeClr w14:val="tx1"/>
                  </w14:solidFill>
                </w14:textFill>
              </w:rPr>
              <m:t>市辖区建成区面积</m:t>
            </m:r>
            <m:ctrlPr>
              <w:rPr>
                <w:rFonts w:hint="default" w:ascii="Cambria Math" w:hAnsi="Cambria Math" w:eastAsia="仿宋" w:cs="Times New Roman"/>
                <w:iCs/>
                <w:color w:val="000000" w:themeColor="text1"/>
                <w:sz w:val="24"/>
                <w:szCs w:val="24"/>
                <w14:textFill>
                  <w14:solidFill>
                    <w14:schemeClr w14:val="tx1"/>
                  </w14:solidFill>
                </w14:textFill>
              </w:rPr>
            </m:ctrlPr>
          </m:den>
        </m:f>
        <m:r>
          <m:rPr>
            <m:sty m:val="p"/>
          </m:rPr>
          <w:rPr>
            <w:rFonts w:hint="default" w:ascii="Cambria Math" w:hAnsi="Cambria Math" w:eastAsia="仿宋" w:cs="Times New Roman"/>
            <w:color w:val="000000" w:themeColor="text1"/>
            <w:sz w:val="24"/>
            <w:szCs w:val="24"/>
            <w14:textFill>
              <w14:solidFill>
                <w14:schemeClr w14:val="tx1"/>
              </w14:solidFill>
            </w14:textFill>
          </w:rPr>
          <m:t>×100%</m:t>
        </m:r>
      </m:oMath>
      <w:r>
        <w:rPr>
          <w:rFonts w:hint="default" w:ascii="Times New Roman" w:hAnsi="Times New Roman" w:eastAsia="仿宋" w:cs="Times New Roman"/>
          <w:iCs/>
          <w:color w:val="000000"/>
          <w:sz w:val="24"/>
          <w:szCs w:val="24"/>
        </w:rPr>
        <w:t>，</w:t>
      </w:r>
      <w:r>
        <w:rPr>
          <w:rFonts w:hint="default" w:ascii="Times New Roman" w:hAnsi="Times New Roman" w:eastAsia="仿宋_GB2312" w:cs="Times New Roman"/>
          <w:iCs/>
          <w:color w:val="000000"/>
          <w:sz w:val="32"/>
          <w:szCs w:val="32"/>
        </w:rPr>
        <w:t>计算单元为建成区。</w:t>
      </w:r>
    </w:p>
    <w:p w14:paraId="008F60D2">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w:t>
      </w:r>
      <w:r>
        <w:rPr>
          <w:rFonts w:hint="default" w:ascii="Times New Roman" w:hAnsi="Times New Roman" w:eastAsia="仿宋_GB2312" w:cs="Times New Roman"/>
          <w:spacing w:val="1"/>
          <w:sz w:val="32"/>
          <w:szCs w:val="32"/>
        </w:rPr>
        <w:t>数据获取渠道】</w:t>
      </w:r>
    </w:p>
    <w:p w14:paraId="5396A97C">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官方统计数据、行业部门填报数据。</w:t>
      </w:r>
    </w:p>
    <w:p w14:paraId="1B3E263E">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【参考标准】</w:t>
      </w:r>
    </w:p>
    <w:p w14:paraId="3804657A">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2022年城市自体检有24座城市报送该项数据，平均值约为70%。</w:t>
      </w:r>
    </w:p>
    <w:p w14:paraId="5CE69D3C">
      <w:pPr>
        <w:pStyle w:val="2"/>
        <w:ind w:firstLine="480"/>
        <w:rPr>
          <w:rFonts w:hint="default" w:ascii="Times New Roman" w:hAnsi="Times New Roman" w:cs="Times New Roman"/>
          <w:sz w:val="24"/>
        </w:rPr>
      </w:pPr>
    </w:p>
    <w:p w14:paraId="382BB46C">
      <w:pPr>
        <w:spacing w:line="360" w:lineRule="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pacing w:val="-4"/>
          <w:sz w:val="32"/>
          <w:szCs w:val="32"/>
        </w:rPr>
        <w:t>指标61：城市</w:t>
      </w:r>
      <w:r>
        <w:rPr>
          <w:rFonts w:hint="default" w:ascii="Times New Roman" w:hAnsi="Times New Roman" w:eastAsia="仿宋_GB2312" w:cs="Times New Roman"/>
          <w:b/>
          <w:bCs/>
          <w:spacing w:val="-2"/>
          <w:sz w:val="32"/>
          <w:szCs w:val="32"/>
        </w:rPr>
        <w:t>运行管理服务平台覆盖率（%）</w:t>
      </w:r>
    </w:p>
    <w:p w14:paraId="024AB6E7">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069B73C7">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按照到2025年城市运行管理“一网统管”体制机制基本完善的目标要求，调查分析市辖区建成区内城市运行管理服务平台覆盖的区域面积，占建成区总面积的百分比，查找城市运行管理服务平台建设、城市精细化管理方面存在的差距和问题。</w:t>
      </w:r>
    </w:p>
    <w:p w14:paraId="251C3A0D">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【计算方式】</w:t>
      </w:r>
    </w:p>
    <w:p w14:paraId="5AFD142E">
      <w:pPr>
        <w:spacing w:line="360" w:lineRule="auto"/>
        <w:ind w:firstLine="480" w:firstLineChars="200"/>
        <w:rPr>
          <w:rFonts w:hint="default" w:ascii="Times New Roman" w:hAnsi="Times New Roman" w:eastAsia="仿宋" w:cs="Times New Roman"/>
          <w:sz w:val="24"/>
          <w:szCs w:val="24"/>
        </w:rPr>
      </w:pPr>
      <m:oMath>
        <m:f>
          <m:fPr>
            <m:ctrlPr>
              <w:rPr>
                <w:rFonts w:hint="default" w:ascii="Cambria Math" w:hAnsi="Cambria Math" w:eastAsia="仿宋" w:cs="Times New Roman"/>
                <w:iCs/>
                <w:color w:val="000000" w:themeColor="text1"/>
                <w:sz w:val="24"/>
                <w:szCs w:val="24"/>
                <w14:textFill>
                  <w14:solidFill>
                    <w14:schemeClr w14:val="tx1"/>
                  </w14:solidFill>
                </w14:textFill>
              </w:rPr>
            </m:ctrlPr>
          </m:fPr>
          <m:num>
            <m:r>
              <m:rPr>
                <m:sty m:val="p"/>
              </m:rPr>
              <w:rPr>
                <w:rFonts w:hint="default" w:ascii="Cambria Math" w:hAnsi="Cambria Math" w:eastAsia="仿宋" w:cs="Times New Roman"/>
                <w:color w:val="000000" w:themeColor="text1"/>
                <w:sz w:val="24"/>
                <w:szCs w:val="24"/>
                <w14:textFill>
                  <w14:solidFill>
                    <w14:schemeClr w14:val="tx1"/>
                  </w14:solidFill>
                </w14:textFill>
              </w:rPr>
              <m:t>市辖区建成区内城市运行管理服务平台覆盖的区域面积</m:t>
            </m:r>
            <m:ctrlPr>
              <w:rPr>
                <w:rFonts w:hint="default" w:ascii="Cambria Math" w:hAnsi="Cambria Math" w:eastAsia="仿宋" w:cs="Times New Roman"/>
                <w:iCs/>
                <w:color w:val="000000" w:themeColor="text1"/>
                <w:sz w:val="24"/>
                <w:szCs w:val="24"/>
                <w14:textFill>
                  <w14:solidFill>
                    <w14:schemeClr w14:val="tx1"/>
                  </w14:solidFill>
                </w14:textFill>
              </w:rPr>
            </m:ctrlPr>
          </m:num>
          <m:den>
            <m:r>
              <m:rPr>
                <m:sty m:val="p"/>
              </m:rPr>
              <w:rPr>
                <w:rFonts w:hint="default" w:ascii="Cambria Math" w:hAnsi="Cambria Math" w:eastAsia="仿宋" w:cs="Times New Roman"/>
                <w:color w:val="000000" w:themeColor="text1"/>
                <w:sz w:val="24"/>
                <w:szCs w:val="24"/>
                <w14:textFill>
                  <w14:solidFill>
                    <w14:schemeClr w14:val="tx1"/>
                  </w14:solidFill>
                </w14:textFill>
              </w:rPr>
              <m:t>市辖区建成区面积</m:t>
            </m:r>
            <m:ctrlPr>
              <w:rPr>
                <w:rFonts w:hint="default" w:ascii="Cambria Math" w:hAnsi="Cambria Math" w:eastAsia="仿宋" w:cs="Times New Roman"/>
                <w:iCs/>
                <w:color w:val="000000" w:themeColor="text1"/>
                <w:sz w:val="24"/>
                <w:szCs w:val="24"/>
                <w14:textFill>
                  <w14:solidFill>
                    <w14:schemeClr w14:val="tx1"/>
                  </w14:solidFill>
                </w14:textFill>
              </w:rPr>
            </m:ctrlPr>
          </m:den>
        </m:f>
        <m:r>
          <m:rPr>
            <m:sty m:val="p"/>
          </m:rPr>
          <w:rPr>
            <w:rFonts w:hint="default" w:ascii="Cambria Math" w:hAnsi="Cambria Math" w:eastAsia="仿宋" w:cs="Times New Roman"/>
            <w:color w:val="000000" w:themeColor="text1"/>
            <w:sz w:val="24"/>
            <w:szCs w:val="24"/>
            <w14:textFill>
              <w14:solidFill>
                <w14:schemeClr w14:val="tx1"/>
              </w14:solidFill>
            </w14:textFill>
          </w:rPr>
          <m:t>×1</m:t>
        </m:r>
      </m:oMath>
      <w:r>
        <w:rPr>
          <w:rFonts w:hint="default" w:ascii="Times New Roman" w:hAnsi="Times New Roman" w:eastAsia="仿宋" w:cs="Times New Roman"/>
          <w:iCs/>
          <w:color w:val="000000" w:themeColor="text1"/>
          <w:sz w:val="24"/>
          <w:szCs w:val="24"/>
          <w14:textFill>
            <w14:solidFill>
              <w14:schemeClr w14:val="tx1"/>
            </w14:solidFill>
          </w14:textFill>
        </w:rPr>
        <w:t>00%</w:t>
      </w:r>
    </w:p>
    <w:p w14:paraId="085794C7">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【数据获取渠道</w:t>
      </w:r>
      <w:r>
        <w:rPr>
          <w:rFonts w:hint="default" w:ascii="Times New Roman" w:hAnsi="Times New Roman" w:eastAsia="仿宋_GB2312" w:cs="Times New Roman"/>
          <w:sz w:val="32"/>
          <w:szCs w:val="32"/>
        </w:rPr>
        <w:t>】</w:t>
      </w:r>
    </w:p>
    <w:p w14:paraId="3FA45384">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官方统计数据、行业部门填报数据。</w:t>
      </w:r>
    </w:p>
    <w:p w14:paraId="13D4AABF">
      <w:pPr>
        <w:spacing w:line="360" w:lineRule="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【参考标准】</w:t>
      </w:r>
    </w:p>
    <w:p w14:paraId="583F65CB">
      <w:pPr>
        <w:spacing w:line="360" w:lineRule="auto"/>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iCs/>
          <w:color w:val="000000"/>
          <w:sz w:val="32"/>
          <w:szCs w:val="32"/>
        </w:rPr>
        <w:t>80%。2022年住房和城乡建设部印发《关于全面加快建设城市运行管理服务平台的通知》推动城市运行管理“一网统管”，明确到2022年年底前，直辖市、省会城市、计划单列市及部分地级城市建成城市运管服平台，有条件的省、自治区建成省级城市运管服平台。2023年底前，所有省、自治区建成省级城市运管服平台，地级以上城市基本建成城市运管服平台。2025年底前，城市运行管理“一网统管”体制机制基本完善，城市运行效率和风险防控能力明显增强，城市科学化精细化智能化治理水平大幅提升。</w:t>
      </w:r>
      <w:r>
        <w:rPr>
          <w:rFonts w:hint="default" w:ascii="Times New Roman" w:hAnsi="Times New Roman" w:eastAsia="仿宋_GB2312" w:cs="Times New Roman"/>
          <w:color w:val="000000"/>
          <w:sz w:val="32"/>
          <w:szCs w:val="32"/>
        </w:rPr>
        <w:br w:type="page"/>
      </w:r>
    </w:p>
    <w:p w14:paraId="1D24A1CD">
      <w:pPr>
        <w:pStyle w:val="4"/>
        <w:rPr>
          <w:rFonts w:hint="default" w:ascii="Times New Roman" w:hAnsi="Times New Roman" w:eastAsia="方正小标宋简体" w:cs="Times New Roman"/>
          <w:b w:val="0"/>
          <w:bCs w:val="0"/>
          <w:color w:val="000000"/>
        </w:rPr>
      </w:pPr>
      <w:bookmarkStart w:id="25" w:name="_Toc1517580359"/>
      <w:r>
        <w:rPr>
          <w:rFonts w:hint="default" w:ascii="Times New Roman" w:hAnsi="Times New Roman" w:eastAsia="方正小标宋简体" w:cs="Times New Roman"/>
          <w:b w:val="0"/>
          <w:bCs w:val="0"/>
          <w:color w:val="000000"/>
        </w:rPr>
        <w:t>附录D 福建省2023年度城市体检基础指标计算解析</w:t>
      </w:r>
      <w:bookmarkEnd w:id="25"/>
    </w:p>
    <w:p w14:paraId="2E10E4D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pacing w:val="-3"/>
          <w:sz w:val="32"/>
          <w:szCs w:val="32"/>
        </w:rPr>
      </w:pPr>
      <w:r>
        <w:rPr>
          <w:rFonts w:hint="default" w:ascii="Times New Roman" w:hAnsi="Times New Roman" w:eastAsia="仿宋_GB2312" w:cs="Times New Roman"/>
          <w:b/>
          <w:bCs/>
          <w:spacing w:val="-3"/>
          <w:sz w:val="32"/>
          <w:szCs w:val="32"/>
        </w:rPr>
        <w:t>指标1：城市路灯LED节能改造率（%）</w:t>
      </w:r>
    </w:p>
    <w:p w14:paraId="421DE07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【体检内容】</w:t>
      </w:r>
    </w:p>
    <w:p w14:paraId="3DBCA0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市辖区已完成LED节能改造的路灯数量占路灯总数的百分比。</w:t>
      </w:r>
    </w:p>
    <w:p w14:paraId="559BEBF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29D5F7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2030年城市路灯LED节能改造率80%。</w:t>
      </w:r>
    </w:p>
    <w:p w14:paraId="051AFA0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153814B6">
      <w:pPr>
        <w:spacing w:line="360" w:lineRule="auto"/>
        <w:ind w:firstLine="640" w:firstLineChars="200"/>
        <w:rPr>
          <w:rFonts w:hint="default" w:ascii="Times New Roman" w:hAnsi="Times New Roman" w:eastAsia="仿宋" w:cs="Times New Roman"/>
          <w:iCs/>
          <w:color w:val="000000"/>
          <w:sz w:val="24"/>
          <w:szCs w:val="24"/>
        </w:rPr>
      </w:pPr>
      <w:r>
        <w:rPr>
          <w:rFonts w:hint="default" w:ascii="Times New Roman" w:hAnsi="Times New Roman" w:eastAsia="仿宋_GB2312" w:cs="Times New Roman"/>
          <w:iCs/>
          <w:color w:val="000000"/>
          <w:sz w:val="32"/>
          <w:szCs w:val="32"/>
        </w:rPr>
        <w:t>测算方法：</w:t>
      </w:r>
      <m:oMath>
        <m:f>
          <m:fPr>
            <m:ctrlPr>
              <w:rPr>
                <w:rFonts w:hint="default" w:ascii="Cambria Math" w:hAnsi="Cambria Math" w:eastAsia="仿宋" w:cs="Times New Roman"/>
                <w:iCs/>
                <w:color w:val="000000" w:themeColor="text1"/>
                <w:sz w:val="24"/>
                <w:szCs w:val="24"/>
                <w14:textFill>
                  <w14:solidFill>
                    <w14:schemeClr w14:val="tx1"/>
                  </w14:solidFill>
                </w14:textFill>
              </w:rPr>
            </m:ctrlPr>
          </m:fPr>
          <m:num>
            <m:r>
              <m:rPr>
                <m:sty m:val="p"/>
              </m:rPr>
              <w:rPr>
                <w:rFonts w:hint="default" w:ascii="Cambria Math" w:hAnsi="Cambria Math" w:eastAsia="仿宋" w:cs="Times New Roman"/>
                <w:color w:val="000000" w:themeColor="text1"/>
                <w:sz w:val="24"/>
                <w:szCs w:val="24"/>
                <w14:textFill>
                  <w14:solidFill>
                    <w14:schemeClr w14:val="tx1"/>
                  </w14:solidFill>
                </w14:textFill>
              </w:rPr>
              <m:t>市辖区已完成LED节能改造的路灯数量</m:t>
            </m:r>
            <m:ctrlPr>
              <w:rPr>
                <w:rFonts w:hint="default" w:ascii="Cambria Math" w:hAnsi="Cambria Math" w:eastAsia="仿宋" w:cs="Times New Roman"/>
                <w:iCs/>
                <w:color w:val="000000" w:themeColor="text1"/>
                <w:sz w:val="24"/>
                <w:szCs w:val="24"/>
                <w14:textFill>
                  <w14:solidFill>
                    <w14:schemeClr w14:val="tx1"/>
                  </w14:solidFill>
                </w14:textFill>
              </w:rPr>
            </m:ctrlPr>
          </m:num>
          <m:den>
            <m:r>
              <m:rPr>
                <m:sty m:val="p"/>
              </m:rPr>
              <w:rPr>
                <w:rFonts w:hint="default" w:ascii="Cambria Math" w:hAnsi="Cambria Math" w:eastAsia="仿宋" w:cs="Times New Roman"/>
                <w:color w:val="000000" w:themeColor="text1"/>
                <w:sz w:val="24"/>
                <w:szCs w:val="24"/>
                <w14:textFill>
                  <w14:solidFill>
                    <w14:schemeClr w14:val="tx1"/>
                  </w14:solidFill>
                </w14:textFill>
              </w:rPr>
              <m:t>市辖区路灯总数</m:t>
            </m:r>
            <m:ctrlPr>
              <w:rPr>
                <w:rFonts w:hint="default" w:ascii="Cambria Math" w:hAnsi="Cambria Math" w:eastAsia="仿宋" w:cs="Times New Roman"/>
                <w:iCs/>
                <w:color w:val="000000" w:themeColor="text1"/>
                <w:sz w:val="24"/>
                <w:szCs w:val="24"/>
                <w14:textFill>
                  <w14:solidFill>
                    <w14:schemeClr w14:val="tx1"/>
                  </w14:solidFill>
                </w14:textFill>
              </w:rPr>
            </m:ctrlPr>
          </m:den>
        </m:f>
        <m:r>
          <m:rPr>
            <m:sty m:val="p"/>
          </m:rPr>
          <w:rPr>
            <w:rFonts w:hint="default" w:ascii="Cambria Math" w:hAnsi="Cambria Math" w:eastAsia="仿宋" w:cs="Times New Roman"/>
            <w:color w:val="000000" w:themeColor="text1"/>
            <w:sz w:val="24"/>
            <w:szCs w:val="24"/>
            <w14:textFill>
              <w14:solidFill>
                <w14:schemeClr w14:val="tx1"/>
              </w14:solidFill>
            </w14:textFill>
          </w:rPr>
          <m:t>×1</m:t>
        </m:r>
      </m:oMath>
      <w:r>
        <w:rPr>
          <w:rFonts w:hint="eastAsia" w:ascii="Times New Roman" w:hAnsi="Times New Roman" w:eastAsia="仿宋" w:cs="Times New Roman"/>
          <w:iCs/>
          <w:color w:val="000000" w:themeColor="text1"/>
          <w:sz w:val="24"/>
          <w:szCs w:val="24"/>
          <w:lang w:val="en-US" w:eastAsia="zh-CN"/>
          <w14:textFill>
            <w14:solidFill>
              <w14:schemeClr w14:val="tx1"/>
            </w14:solidFill>
          </w14:textFill>
        </w:rPr>
        <w:t>00</w:t>
      </w:r>
      <w:r>
        <w:rPr>
          <w:rFonts w:hint="default" w:ascii="Times New Roman" w:hAnsi="Times New Roman" w:eastAsia="仿宋" w:cs="Times New Roman"/>
          <w:iCs/>
          <w:color w:val="000000" w:themeColor="text1"/>
          <w:sz w:val="24"/>
          <w:szCs w:val="24"/>
          <w14:textFill>
            <w14:solidFill>
              <w14:schemeClr w14:val="tx1"/>
            </w14:solidFill>
          </w14:textFill>
        </w:rPr>
        <w:t>%</w:t>
      </w:r>
    </w:p>
    <w:p w14:paraId="1939B4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数据来源：专业部门或街道提供。</w:t>
      </w:r>
    </w:p>
    <w:p w14:paraId="4F2141E9">
      <w:pPr>
        <w:pStyle w:val="2"/>
        <w:rPr>
          <w:rFonts w:hint="default" w:ascii="Times New Roman" w:hAnsi="Times New Roman" w:cs="Times New Roman"/>
        </w:rPr>
      </w:pPr>
    </w:p>
    <w:p w14:paraId="42E5451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pacing w:val="-3"/>
          <w:sz w:val="32"/>
          <w:szCs w:val="32"/>
        </w:rPr>
      </w:pPr>
      <w:r>
        <w:rPr>
          <w:rFonts w:hint="default" w:ascii="Times New Roman" w:hAnsi="Times New Roman" w:eastAsia="仿宋_GB2312" w:cs="Times New Roman"/>
          <w:b/>
          <w:bCs/>
          <w:spacing w:val="-3"/>
          <w:sz w:val="32"/>
          <w:szCs w:val="32"/>
        </w:rPr>
        <w:t>指标2：立体绿化实施率（%）</w:t>
      </w:r>
    </w:p>
    <w:p w14:paraId="17AB0AA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【体检内容】</w:t>
      </w:r>
    </w:p>
    <w:p w14:paraId="1023E0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市辖区建成区内近三年已竣工的新建、改建公共建筑、工业建筑和市政交通设施项目中实施立体绿化的项目数量占近三年已竣工的新建、改建的公共建筑、工业建筑和市政交通设施项目总数量的百分比。</w:t>
      </w:r>
    </w:p>
    <w:p w14:paraId="4DF3E4C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18B10E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国家生态园林城市≥15%；</w:t>
      </w:r>
    </w:p>
    <w:p w14:paraId="3FA6F5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国家园林城市≥10%。</w:t>
      </w:r>
    </w:p>
    <w:p w14:paraId="32DB612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753EDB68">
      <w:pPr>
        <w:spacing w:line="360" w:lineRule="auto"/>
        <w:ind w:firstLine="640" w:firstLineChars="200"/>
        <w:rPr>
          <w:rFonts w:hint="default" w:ascii="Times New Roman" w:hAnsi="Times New Roman" w:eastAsia="仿宋" w:cs="Times New Roman"/>
          <w:iCs/>
          <w:color w:val="000000" w:themeColor="text1"/>
          <w:sz w:val="24"/>
          <w:szCs w:val="24"/>
          <w14:textFill>
            <w14:solidFill>
              <w14:schemeClr w14:val="tx1"/>
            </w14:solidFill>
          </w14:textFill>
        </w:rPr>
      </w:pPr>
      <w:r>
        <w:rPr>
          <w:rFonts w:hint="default" w:ascii="Times New Roman" w:hAnsi="Times New Roman" w:eastAsia="仿宋_GB2312" w:cs="Times New Roman"/>
          <w:iCs/>
          <w:color w:val="000000"/>
          <w:sz w:val="32"/>
          <w:szCs w:val="32"/>
        </w:rPr>
        <w:t>测算方法：</w:t>
      </w:r>
      <m:oMath>
        <m:f>
          <m:fPr>
            <m:ctrlPr>
              <w:rPr>
                <w:rFonts w:hint="default" w:ascii="Cambria Math" w:hAnsi="Cambria Math" w:eastAsia="仿宋" w:cs="Times New Roman"/>
                <w:iCs/>
                <w:color w:val="000000" w:themeColor="text1"/>
                <w:sz w:val="24"/>
                <w:szCs w:val="24"/>
                <w14:textFill>
                  <w14:solidFill>
                    <w14:schemeClr w14:val="tx1"/>
                  </w14:solidFill>
                </w14:textFill>
              </w:rPr>
            </m:ctrlPr>
          </m:fPr>
          <m:num>
            <m:r>
              <m:rPr>
                <m:sty m:val="p"/>
              </m:rPr>
              <w:rPr>
                <w:rFonts w:hint="default" w:ascii="Cambria Math" w:hAnsi="Cambria Math" w:eastAsia="仿宋" w:cs="Times New Roman"/>
                <w:color w:val="000000" w:themeColor="text1"/>
                <w:sz w:val="24"/>
                <w:szCs w:val="24"/>
                <w14:textFill>
                  <w14:solidFill>
                    <w14:schemeClr w14:val="tx1"/>
                  </w14:solidFill>
                </w14:textFill>
              </w:rPr>
              <m:t>市辖区建成区内实施立体绿化的项目数量</m:t>
            </m:r>
            <m:ctrlPr>
              <w:rPr>
                <w:rFonts w:hint="default" w:ascii="Cambria Math" w:hAnsi="Cambria Math" w:eastAsia="仿宋" w:cs="Times New Roman"/>
                <w:iCs/>
                <w:color w:val="000000" w:themeColor="text1"/>
                <w:sz w:val="24"/>
                <w:szCs w:val="24"/>
                <w14:textFill>
                  <w14:solidFill>
                    <w14:schemeClr w14:val="tx1"/>
                  </w14:solidFill>
                </w14:textFill>
              </w:rPr>
            </m:ctrlPr>
          </m:num>
          <m:den>
            <m:r>
              <m:rPr>
                <m:sty m:val="p"/>
              </m:rPr>
              <w:rPr>
                <w:rFonts w:hint="default" w:ascii="Cambria Math" w:hAnsi="Cambria Math" w:eastAsia="仿宋" w:cs="Times New Roman"/>
                <w:color w:val="000000" w:themeColor="text1"/>
                <w:sz w:val="24"/>
                <w:szCs w:val="24"/>
                <w14:textFill>
                  <w14:solidFill>
                    <w14:schemeClr w14:val="tx1"/>
                  </w14:solidFill>
                </w14:textFill>
              </w:rPr>
              <m:t>新建、改建的公共建筑、工业建筑和市政交通设施项目总数量</m:t>
            </m:r>
            <m:ctrlPr>
              <w:rPr>
                <w:rFonts w:hint="default" w:ascii="Cambria Math" w:hAnsi="Cambria Math" w:eastAsia="仿宋" w:cs="Times New Roman"/>
                <w:iCs/>
                <w:color w:val="000000" w:themeColor="text1"/>
                <w:sz w:val="24"/>
                <w:szCs w:val="24"/>
                <w14:textFill>
                  <w14:solidFill>
                    <w14:schemeClr w14:val="tx1"/>
                  </w14:solidFill>
                </w14:textFill>
              </w:rPr>
            </m:ctrlPr>
          </m:den>
        </m:f>
        <m:r>
          <m:rPr>
            <m:sty m:val="p"/>
          </m:rPr>
          <w:rPr>
            <w:rFonts w:hint="default" w:ascii="Cambria Math" w:hAnsi="Cambria Math" w:eastAsia="仿宋" w:cs="Times New Roman"/>
            <w:color w:val="000000" w:themeColor="text1"/>
            <w:sz w:val="24"/>
            <w:szCs w:val="24"/>
            <w14:textFill>
              <w14:solidFill>
                <w14:schemeClr w14:val="tx1"/>
              </w14:solidFill>
            </w14:textFill>
          </w:rPr>
          <m:t>×1</m:t>
        </m:r>
      </m:oMath>
      <w:r>
        <w:rPr>
          <w:rFonts w:hint="default" w:ascii="Times New Roman" w:hAnsi="Times New Roman" w:eastAsia="仿宋" w:cs="Times New Roman"/>
          <w:iCs/>
          <w:color w:val="000000" w:themeColor="text1"/>
          <w:sz w:val="24"/>
          <w:szCs w:val="24"/>
          <w14:textFill>
            <w14:solidFill>
              <w14:schemeClr w14:val="tx1"/>
            </w14:solidFill>
          </w14:textFill>
        </w:rPr>
        <w:t>00%</w:t>
      </w:r>
    </w:p>
    <w:p w14:paraId="1F801A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其中，“市辖区建成区内实施立体绿化的项目数量”指的是“近三年市辖区建成区内已竣工的新建、改建的公共建筑、工业建筑和市政交通设施项目中实施立体绿化的项目数量”，“新建、改建的公共建筑、工业建筑和市政交通设施项目总数量”指的是“近三年市辖区建成区内已竣工的新建、改建的公共建筑、工业建筑和市政交通设施项目总数量”。</w:t>
      </w:r>
    </w:p>
    <w:p w14:paraId="1456EE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数据来源：专业部门或街道提供。</w:t>
      </w:r>
    </w:p>
    <w:p w14:paraId="30061304">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5A2012E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pacing w:val="-3"/>
          <w:sz w:val="32"/>
          <w:szCs w:val="32"/>
        </w:rPr>
      </w:pPr>
      <w:r>
        <w:rPr>
          <w:rFonts w:hint="default" w:ascii="Times New Roman" w:hAnsi="Times New Roman" w:eastAsia="仿宋_GB2312" w:cs="Times New Roman"/>
          <w:b/>
          <w:bCs/>
          <w:spacing w:val="-3"/>
          <w:sz w:val="32"/>
          <w:szCs w:val="32"/>
        </w:rPr>
        <w:t>指标3：城市道路绿化达标率（%）</w:t>
      </w:r>
    </w:p>
    <w:p w14:paraId="6E1F137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【体检内容】</w:t>
      </w:r>
    </w:p>
    <w:p w14:paraId="1B8452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市辖区建成区内道路绿化达到《城市道路绿化设计标准》的长度占城市道路总长度的百分比。</w:t>
      </w:r>
    </w:p>
    <w:p w14:paraId="0393B32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1C6395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国家生态园林城市≥85%（仅厦门市）；</w:t>
      </w:r>
    </w:p>
    <w:p w14:paraId="684872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国家园林城市≥80%。</w:t>
      </w:r>
    </w:p>
    <w:p w14:paraId="2744774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【体检方法】</w:t>
      </w:r>
    </w:p>
    <w:p w14:paraId="56766756">
      <w:pPr>
        <w:spacing w:line="360" w:lineRule="auto"/>
        <w:ind w:firstLine="640" w:firstLineChars="200"/>
        <w:rPr>
          <w:rFonts w:hint="default" w:ascii="Times New Roman" w:hAnsi="Times New Roman" w:eastAsia="仿宋" w:cs="Times New Roman"/>
          <w:iCs/>
          <w:color w:val="000000" w:themeColor="text1"/>
          <w:sz w:val="24"/>
          <w:szCs w:val="24"/>
          <w14:textFill>
            <w14:solidFill>
              <w14:schemeClr w14:val="tx1"/>
            </w14:solidFill>
          </w14:textFill>
        </w:rPr>
      </w:pPr>
      <w:r>
        <w:rPr>
          <w:rFonts w:hint="default" w:ascii="Times New Roman" w:hAnsi="Times New Roman" w:eastAsia="仿宋_GB2312" w:cs="Times New Roman"/>
          <w:iCs/>
          <w:color w:val="000000"/>
          <w:sz w:val="32"/>
          <w:szCs w:val="32"/>
        </w:rPr>
        <w:t>测算方法：</w:t>
      </w:r>
      <m:oMath>
        <m:f>
          <m:fPr>
            <m:ctrlPr>
              <w:rPr>
                <w:rFonts w:hint="default" w:ascii="Cambria Math" w:hAnsi="Cambria Math" w:eastAsia="仿宋" w:cs="Times New Roman"/>
                <w:iCs/>
                <w:color w:val="000000" w:themeColor="text1"/>
                <w:sz w:val="24"/>
                <w:szCs w:val="24"/>
                <w14:textFill>
                  <w14:solidFill>
                    <w14:schemeClr w14:val="tx1"/>
                  </w14:solidFill>
                </w14:textFill>
              </w:rPr>
            </m:ctrlPr>
          </m:fPr>
          <m:num>
            <m:r>
              <m:rPr>
                <m:sty m:val="p"/>
              </m:rPr>
              <w:rPr>
                <w:rFonts w:hint="default" w:ascii="Cambria Math" w:hAnsi="Cambria Math" w:eastAsia="仿宋" w:cs="Times New Roman"/>
                <w:color w:val="000000" w:themeColor="text1"/>
                <w:sz w:val="24"/>
                <w:szCs w:val="24"/>
                <w14:textFill>
                  <w14:solidFill>
                    <w14:schemeClr w14:val="tx1"/>
                  </w14:solidFill>
                </w14:textFill>
              </w:rPr>
              <m:t>辖区建成区内道路绿化达到《城市道路绿化设计标准》的道路长度</m:t>
            </m:r>
            <m:ctrlPr>
              <w:rPr>
                <w:rFonts w:hint="default" w:ascii="Cambria Math" w:hAnsi="Cambria Math" w:eastAsia="仿宋" w:cs="Times New Roman"/>
                <w:iCs/>
                <w:color w:val="000000" w:themeColor="text1"/>
                <w:sz w:val="24"/>
                <w:szCs w:val="24"/>
                <w14:textFill>
                  <w14:solidFill>
                    <w14:schemeClr w14:val="tx1"/>
                  </w14:solidFill>
                </w14:textFill>
              </w:rPr>
            </m:ctrlPr>
          </m:num>
          <m:den>
            <m:r>
              <m:rPr>
                <m:sty m:val="p"/>
              </m:rPr>
              <w:rPr>
                <w:rFonts w:hint="default" w:ascii="Cambria Math" w:hAnsi="Cambria Math" w:eastAsia="仿宋" w:cs="Times New Roman"/>
                <w:color w:val="000000" w:themeColor="text1"/>
                <w:sz w:val="24"/>
                <w:szCs w:val="24"/>
                <w14:textFill>
                  <w14:solidFill>
                    <w14:schemeClr w14:val="tx1"/>
                  </w14:solidFill>
                </w14:textFill>
              </w:rPr>
              <m:t>市辖区建成区内城市快速路、主干路、次干路、支路总长度</m:t>
            </m:r>
            <m:ctrlPr>
              <w:rPr>
                <w:rFonts w:hint="default" w:ascii="Cambria Math" w:hAnsi="Cambria Math" w:eastAsia="仿宋" w:cs="Times New Roman"/>
                <w:iCs/>
                <w:color w:val="000000" w:themeColor="text1"/>
                <w:sz w:val="24"/>
                <w:szCs w:val="24"/>
                <w14:textFill>
                  <w14:solidFill>
                    <w14:schemeClr w14:val="tx1"/>
                  </w14:solidFill>
                </w14:textFill>
              </w:rPr>
            </m:ctrlPr>
          </m:den>
        </m:f>
        <m:r>
          <m:rPr>
            <m:sty m:val="p"/>
          </m:rPr>
          <w:rPr>
            <w:rFonts w:hint="default" w:ascii="Cambria Math" w:hAnsi="Cambria Math" w:eastAsia="仿宋" w:cs="Times New Roman"/>
            <w:color w:val="000000" w:themeColor="text1"/>
            <w:sz w:val="24"/>
            <w:szCs w:val="24"/>
            <w14:textFill>
              <w14:solidFill>
                <w14:schemeClr w14:val="tx1"/>
              </w14:solidFill>
            </w14:textFill>
          </w:rPr>
          <m:t>×1</m:t>
        </m:r>
      </m:oMath>
      <w:r>
        <w:rPr>
          <w:rFonts w:hint="default" w:ascii="Times New Roman" w:hAnsi="Times New Roman" w:eastAsia="仿宋" w:cs="Times New Roman"/>
          <w:iCs/>
          <w:color w:val="000000" w:themeColor="text1"/>
          <w:sz w:val="24"/>
          <w:szCs w:val="24"/>
          <w14:textFill>
            <w14:solidFill>
              <w14:schemeClr w14:val="tx1"/>
            </w14:solidFill>
          </w14:textFill>
        </w:rPr>
        <w:t>00%</w:t>
      </w:r>
    </w:p>
    <w:p w14:paraId="3949CA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数据来源：专业部门或街道提供。</w:t>
      </w:r>
    </w:p>
    <w:p w14:paraId="01AC5ED3">
      <w:pPr>
        <w:pStyle w:val="2"/>
        <w:rPr>
          <w:rFonts w:hint="default" w:ascii="Times New Roman" w:hAnsi="Times New Roman" w:cs="Times New Roman"/>
        </w:rPr>
      </w:pPr>
    </w:p>
    <w:p w14:paraId="6D0900A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pacing w:val="-3"/>
          <w:sz w:val="32"/>
          <w:szCs w:val="32"/>
        </w:rPr>
      </w:pPr>
      <w:r>
        <w:rPr>
          <w:rFonts w:hint="default" w:ascii="Times New Roman" w:hAnsi="Times New Roman" w:eastAsia="仿宋_GB2312" w:cs="Times New Roman"/>
          <w:b/>
          <w:bCs/>
          <w:spacing w:val="-3"/>
          <w:sz w:val="32"/>
          <w:szCs w:val="32"/>
        </w:rPr>
        <w:t>指标4：城市林荫路覆盖率（%）</w:t>
      </w:r>
    </w:p>
    <w:p w14:paraId="1A19AC6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【体检内容】</w:t>
      </w:r>
    </w:p>
    <w:p w14:paraId="416461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建成区内城市次干路、支路的林荫路长度占城市次干路、支路总长度的百分比。林荫路指绿化覆盖率达到90%以上的人行道、自行车道。</w:t>
      </w:r>
    </w:p>
    <w:p w14:paraId="7AC3FBD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1F05FF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1</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国家生态园林城市≥85%；</w:t>
      </w:r>
    </w:p>
    <w:p w14:paraId="485F0C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w:t>
      </w:r>
      <w:r>
        <w:rPr>
          <w:rFonts w:hint="eastAsia" w:ascii="Times New Roman" w:hAnsi="Times New Roman" w:eastAsia="仿宋_GB2312" w:cs="Times New Roman"/>
          <w:iCs/>
          <w:color w:val="000000"/>
          <w:sz w:val="32"/>
          <w:szCs w:val="32"/>
          <w:lang w:eastAsia="zh-CN"/>
        </w:rPr>
        <w:t>．</w:t>
      </w:r>
      <w:r>
        <w:rPr>
          <w:rFonts w:hint="default" w:ascii="Times New Roman" w:hAnsi="Times New Roman" w:eastAsia="仿宋_GB2312" w:cs="Times New Roman"/>
          <w:iCs/>
          <w:color w:val="000000"/>
          <w:sz w:val="32"/>
          <w:szCs w:val="32"/>
        </w:rPr>
        <w:t>国家园林城市≥70%。</w:t>
      </w:r>
    </w:p>
    <w:p w14:paraId="08F24B0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5A9A3A7F">
      <w:pPr>
        <w:spacing w:line="360" w:lineRule="auto"/>
        <w:ind w:firstLine="640" w:firstLineChars="200"/>
        <w:rPr>
          <w:rFonts w:hint="default" w:ascii="Times New Roman" w:hAnsi="Times New Roman" w:eastAsia="仿宋" w:cs="Times New Roman"/>
          <w:iCs/>
          <w:color w:val="000000"/>
          <w:sz w:val="24"/>
          <w:szCs w:val="24"/>
        </w:rPr>
      </w:pPr>
      <w:r>
        <w:rPr>
          <w:rFonts w:hint="default" w:ascii="Times New Roman" w:hAnsi="Times New Roman" w:eastAsia="仿宋_GB2312" w:cs="Times New Roman"/>
          <w:iCs/>
          <w:color w:val="000000"/>
          <w:sz w:val="32"/>
          <w:szCs w:val="32"/>
        </w:rPr>
        <w:t>测算方法：</w:t>
      </w:r>
      <m:oMath>
        <m:f>
          <m:fPr>
            <m:ctrlPr>
              <w:rPr>
                <w:rFonts w:hint="default" w:ascii="Cambria Math" w:hAnsi="Cambria Math" w:eastAsia="仿宋" w:cs="Times New Roman"/>
                <w:iCs/>
                <w:color w:val="000000" w:themeColor="text1"/>
                <w:sz w:val="24"/>
                <w:szCs w:val="24"/>
                <w14:textFill>
                  <w14:solidFill>
                    <w14:schemeClr w14:val="tx1"/>
                  </w14:solidFill>
                </w14:textFill>
              </w:rPr>
            </m:ctrlPr>
          </m:fPr>
          <m:num>
            <m:r>
              <m:rPr>
                <m:sty m:val="p"/>
              </m:rPr>
              <w:rPr>
                <w:rFonts w:hint="default" w:ascii="Cambria Math" w:hAnsi="Cambria Math" w:eastAsia="仿宋" w:cs="Times New Roman"/>
                <w:color w:val="000000" w:themeColor="text1"/>
                <w:sz w:val="24"/>
                <w:szCs w:val="24"/>
                <w14:textFill>
                  <w14:solidFill>
                    <w14:schemeClr w14:val="tx1"/>
                  </w14:solidFill>
                </w14:textFill>
              </w:rPr>
              <m:t>市辖区建成区内城市次干路、支路的林荫路长度</m:t>
            </m:r>
            <m:ctrlPr>
              <w:rPr>
                <w:rFonts w:hint="default" w:ascii="Cambria Math" w:hAnsi="Cambria Math" w:eastAsia="仿宋" w:cs="Times New Roman"/>
                <w:iCs/>
                <w:color w:val="000000" w:themeColor="text1"/>
                <w:sz w:val="24"/>
                <w:szCs w:val="24"/>
                <w14:textFill>
                  <w14:solidFill>
                    <w14:schemeClr w14:val="tx1"/>
                  </w14:solidFill>
                </w14:textFill>
              </w:rPr>
            </m:ctrlPr>
          </m:num>
          <m:den>
            <m:r>
              <m:rPr>
                <m:sty m:val="p"/>
              </m:rPr>
              <w:rPr>
                <w:rFonts w:hint="default" w:ascii="Cambria Math" w:hAnsi="Cambria Math" w:eastAsia="仿宋" w:cs="Times New Roman"/>
                <w:color w:val="000000" w:themeColor="text1"/>
                <w:sz w:val="24"/>
                <w:szCs w:val="24"/>
                <w14:textFill>
                  <w14:solidFill>
                    <w14:schemeClr w14:val="tx1"/>
                  </w14:solidFill>
                </w14:textFill>
              </w:rPr>
              <m:t>市辖区建成区城市次干路、支路总长度</m:t>
            </m:r>
            <m:ctrlPr>
              <w:rPr>
                <w:rFonts w:hint="default" w:ascii="Cambria Math" w:hAnsi="Cambria Math" w:eastAsia="仿宋" w:cs="Times New Roman"/>
                <w:iCs/>
                <w:color w:val="000000" w:themeColor="text1"/>
                <w:sz w:val="24"/>
                <w:szCs w:val="24"/>
                <w14:textFill>
                  <w14:solidFill>
                    <w14:schemeClr w14:val="tx1"/>
                  </w14:solidFill>
                </w14:textFill>
              </w:rPr>
            </m:ctrlPr>
          </m:den>
        </m:f>
        <m:r>
          <m:rPr>
            <m:sty m:val="p"/>
          </m:rPr>
          <w:rPr>
            <w:rFonts w:hint="default" w:ascii="Cambria Math" w:hAnsi="Cambria Math" w:eastAsia="仿宋" w:cs="Times New Roman"/>
            <w:color w:val="000000" w:themeColor="text1"/>
            <w:sz w:val="24"/>
            <w:szCs w:val="24"/>
            <w14:textFill>
              <w14:solidFill>
                <w14:schemeClr w14:val="tx1"/>
              </w14:solidFill>
            </w14:textFill>
          </w:rPr>
          <m:t>×1</m:t>
        </m:r>
      </m:oMath>
      <w:r>
        <w:rPr>
          <w:rFonts w:hint="default" w:ascii="Times New Roman" w:hAnsi="Times New Roman" w:eastAsia="仿宋" w:cs="Times New Roman"/>
          <w:iCs/>
          <w:color w:val="000000" w:themeColor="text1"/>
          <w:sz w:val="24"/>
          <w:szCs w:val="24"/>
          <w14:textFill>
            <w14:solidFill>
              <w14:schemeClr w14:val="tx1"/>
            </w14:solidFill>
          </w14:textFill>
        </w:rPr>
        <w:t>00%</w:t>
      </w:r>
    </w:p>
    <w:p w14:paraId="77ACAD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数据来源：专业部门或街道提供。</w:t>
      </w:r>
    </w:p>
    <w:p w14:paraId="2B3D516A">
      <w:pPr>
        <w:pStyle w:val="2"/>
        <w:ind w:firstLine="480"/>
        <w:rPr>
          <w:rFonts w:hint="default" w:ascii="Times New Roman" w:hAnsi="Times New Roman" w:eastAsia="仿宋" w:cs="Times New Roman"/>
          <w:sz w:val="24"/>
        </w:rPr>
      </w:pPr>
    </w:p>
    <w:p w14:paraId="4B5EF7E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pacing w:val="-3"/>
          <w:sz w:val="32"/>
          <w:szCs w:val="32"/>
        </w:rPr>
      </w:pPr>
      <w:r>
        <w:rPr>
          <w:rFonts w:hint="default" w:ascii="Times New Roman" w:hAnsi="Times New Roman" w:eastAsia="仿宋_GB2312" w:cs="Times New Roman"/>
          <w:b/>
          <w:bCs/>
          <w:spacing w:val="-3"/>
          <w:sz w:val="32"/>
          <w:szCs w:val="32"/>
        </w:rPr>
        <w:t>指标5：城市市管桥梁完好状态占比率（%）</w:t>
      </w:r>
    </w:p>
    <w:p w14:paraId="51C041E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【体检内容】</w:t>
      </w:r>
    </w:p>
    <w:p w14:paraId="00C10D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城市桥梁中状态完好的桥梁数量占比。</w:t>
      </w:r>
    </w:p>
    <w:p w14:paraId="2B32D48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1890C157">
      <w:pPr>
        <w:spacing w:line="360" w:lineRule="auto"/>
        <w:ind w:firstLine="640" w:firstLineChars="200"/>
        <w:rPr>
          <w:rFonts w:hint="default" w:ascii="Times New Roman" w:hAnsi="Times New Roman" w:eastAsia="仿宋" w:cs="Times New Roman"/>
          <w:iCs/>
          <w:color w:val="000000" w:themeColor="text1"/>
          <w:sz w:val="24"/>
          <w:szCs w:val="24"/>
          <w14:textFill>
            <w14:solidFill>
              <w14:schemeClr w14:val="tx1"/>
            </w14:solidFill>
          </w14:textFill>
        </w:rPr>
      </w:pPr>
      <w:r>
        <w:rPr>
          <w:rFonts w:hint="default" w:ascii="Times New Roman" w:hAnsi="Times New Roman" w:eastAsia="仿宋_GB2312" w:cs="Times New Roman"/>
          <w:iCs/>
          <w:color w:val="000000"/>
          <w:sz w:val="32"/>
          <w:szCs w:val="32"/>
        </w:rPr>
        <w:t>测算方法：</w:t>
      </w:r>
      <m:oMath>
        <m:f>
          <m:fPr>
            <m:ctrlPr>
              <w:rPr>
                <w:rFonts w:hint="default" w:ascii="Cambria Math" w:hAnsi="Cambria Math" w:eastAsia="仿宋" w:cs="Times New Roman"/>
                <w:iCs/>
                <w:color w:val="000000" w:themeColor="text1"/>
                <w:sz w:val="24"/>
                <w:szCs w:val="24"/>
                <w14:textFill>
                  <w14:solidFill>
                    <w14:schemeClr w14:val="tx1"/>
                  </w14:solidFill>
                </w14:textFill>
              </w:rPr>
            </m:ctrlPr>
          </m:fPr>
          <m:num>
            <m:r>
              <m:rPr>
                <m:sty m:val="p"/>
              </m:rPr>
              <w:rPr>
                <w:rFonts w:hint="default" w:ascii="Cambria Math" w:hAnsi="Cambria Math" w:eastAsia="仿宋" w:cs="Times New Roman"/>
                <w:color w:val="000000" w:themeColor="text1"/>
                <w:sz w:val="24"/>
                <w:szCs w:val="24"/>
                <w14:textFill>
                  <w14:solidFill>
                    <w14:schemeClr w14:val="tx1"/>
                  </w14:solidFill>
                </w14:textFill>
              </w:rPr>
              <m:t>市辖区内D级、E级和不合格级桥梁的数量</m:t>
            </m:r>
            <m:ctrlPr>
              <w:rPr>
                <w:rFonts w:hint="default" w:ascii="Cambria Math" w:hAnsi="Cambria Math" w:eastAsia="仿宋" w:cs="Times New Roman"/>
                <w:iCs/>
                <w:color w:val="000000" w:themeColor="text1"/>
                <w:sz w:val="24"/>
                <w:szCs w:val="24"/>
                <w14:textFill>
                  <w14:solidFill>
                    <w14:schemeClr w14:val="tx1"/>
                  </w14:solidFill>
                </w14:textFill>
              </w:rPr>
            </m:ctrlPr>
          </m:num>
          <m:den>
            <m:r>
              <m:rPr>
                <m:sty m:val="p"/>
              </m:rPr>
              <w:rPr>
                <w:rFonts w:hint="default" w:ascii="Cambria Math" w:hAnsi="Cambria Math" w:eastAsia="仿宋" w:cs="Times New Roman"/>
                <w:color w:val="000000" w:themeColor="text1"/>
                <w:sz w:val="24"/>
                <w:szCs w:val="24"/>
                <w14:textFill>
                  <w14:solidFill>
                    <w14:schemeClr w14:val="tx1"/>
                  </w14:solidFill>
                </w14:textFill>
              </w:rPr>
              <m:t>市辖区内城市桥梁总数</m:t>
            </m:r>
            <m:ctrlPr>
              <w:rPr>
                <w:rFonts w:hint="default" w:ascii="Cambria Math" w:hAnsi="Cambria Math" w:eastAsia="仿宋" w:cs="Times New Roman"/>
                <w:iCs/>
                <w:color w:val="000000" w:themeColor="text1"/>
                <w:sz w:val="24"/>
                <w:szCs w:val="24"/>
                <w14:textFill>
                  <w14:solidFill>
                    <w14:schemeClr w14:val="tx1"/>
                  </w14:solidFill>
                </w14:textFill>
              </w:rPr>
            </m:ctrlPr>
          </m:den>
        </m:f>
        <m:r>
          <m:rPr>
            <m:sty m:val="p"/>
          </m:rPr>
          <w:rPr>
            <w:rFonts w:hint="default" w:ascii="Cambria Math" w:hAnsi="Cambria Math" w:eastAsia="仿宋" w:cs="Times New Roman"/>
            <w:color w:val="000000" w:themeColor="text1"/>
            <w:sz w:val="24"/>
            <w:szCs w:val="24"/>
            <w14:textFill>
              <w14:solidFill>
                <w14:schemeClr w14:val="tx1"/>
              </w14:solidFill>
            </w14:textFill>
          </w:rPr>
          <m:t>×1</m:t>
        </m:r>
      </m:oMath>
      <w:r>
        <w:rPr>
          <w:rFonts w:hint="default" w:ascii="Times New Roman" w:hAnsi="Times New Roman" w:eastAsia="仿宋" w:cs="Times New Roman"/>
          <w:iCs/>
          <w:color w:val="000000" w:themeColor="text1"/>
          <w:sz w:val="24"/>
          <w:szCs w:val="24"/>
          <w14:textFill>
            <w14:solidFill>
              <w14:schemeClr w14:val="tx1"/>
            </w14:solidFill>
          </w14:textFill>
        </w:rPr>
        <w:t>00%</w:t>
      </w:r>
    </w:p>
    <w:p w14:paraId="4D8836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数据来源：专业部门或街道提供。</w:t>
      </w:r>
    </w:p>
    <w:p w14:paraId="33BE4266">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2B10E46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pacing w:val="-3"/>
          <w:sz w:val="32"/>
          <w:szCs w:val="32"/>
        </w:rPr>
      </w:pPr>
      <w:r>
        <w:rPr>
          <w:rFonts w:hint="default" w:ascii="Times New Roman" w:hAnsi="Times New Roman" w:eastAsia="仿宋_GB2312" w:cs="Times New Roman"/>
          <w:b/>
          <w:bCs/>
          <w:spacing w:val="-3"/>
          <w:sz w:val="32"/>
          <w:szCs w:val="32"/>
        </w:rPr>
        <w:t>指标6：城市可渗透地面面积比例（%）</w:t>
      </w:r>
    </w:p>
    <w:p w14:paraId="2C76039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【体检内容】</w:t>
      </w:r>
    </w:p>
    <w:p w14:paraId="1208C5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市辖区建成区内具有渗透能力的地表（含水域）面积，占建成区面积的百分比。其中，具有渗透能力的地表（含水域）面积数据的获取可通过高分卫星影像分析获取城市不透水地面面积。</w:t>
      </w:r>
    </w:p>
    <w:p w14:paraId="0091F35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5B37C1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城市可渗透地面面积比例大于40%。</w:t>
      </w:r>
    </w:p>
    <w:p w14:paraId="4504181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65CA6D36">
      <w:pPr>
        <w:spacing w:line="360" w:lineRule="auto"/>
        <w:ind w:firstLine="640" w:firstLineChars="200"/>
        <w:rPr>
          <w:rFonts w:hint="default" w:ascii="Times New Roman" w:hAnsi="Times New Roman" w:eastAsia="仿宋" w:cs="Times New Roman"/>
          <w:iCs/>
          <w:color w:val="000000"/>
          <w:sz w:val="24"/>
          <w:szCs w:val="24"/>
        </w:rPr>
      </w:pPr>
      <w:r>
        <w:rPr>
          <w:rFonts w:hint="default" w:ascii="Times New Roman" w:hAnsi="Times New Roman" w:eastAsia="仿宋_GB2312" w:cs="Times New Roman"/>
          <w:iCs/>
          <w:color w:val="000000"/>
          <w:sz w:val="32"/>
          <w:szCs w:val="32"/>
        </w:rPr>
        <w:t>测算方法：</w:t>
      </w:r>
      <m:oMath>
        <m:f>
          <m:fPr>
            <m:ctrlPr>
              <w:rPr>
                <w:rFonts w:hint="default" w:ascii="Cambria Math" w:hAnsi="Cambria Math" w:eastAsia="仿宋" w:cs="Times New Roman"/>
                <w:iCs/>
                <w:color w:val="000000" w:themeColor="text1"/>
                <w:sz w:val="24"/>
                <w:szCs w:val="24"/>
                <w14:textFill>
                  <w14:solidFill>
                    <w14:schemeClr w14:val="tx1"/>
                  </w14:solidFill>
                </w14:textFill>
              </w:rPr>
            </m:ctrlPr>
          </m:fPr>
          <m:num>
            <m:r>
              <m:rPr>
                <m:sty m:val="p"/>
              </m:rPr>
              <w:rPr>
                <w:rFonts w:hint="default" w:ascii="Cambria Math" w:hAnsi="Cambria Math" w:eastAsia="仿宋" w:cs="Times New Roman"/>
                <w:color w:val="000000" w:themeColor="text1"/>
                <w:sz w:val="24"/>
                <w:szCs w:val="24"/>
                <w14:textFill>
                  <w14:solidFill>
                    <w14:schemeClr w14:val="tx1"/>
                  </w14:solidFill>
                </w14:textFill>
              </w:rPr>
              <m:t>市辖区建成区内具有渗透能力的地表（含水域）面积</m:t>
            </m:r>
            <m:ctrlPr>
              <w:rPr>
                <w:rFonts w:hint="default" w:ascii="Cambria Math" w:hAnsi="Cambria Math" w:eastAsia="仿宋" w:cs="Times New Roman"/>
                <w:iCs/>
                <w:color w:val="000000" w:themeColor="text1"/>
                <w:sz w:val="24"/>
                <w:szCs w:val="24"/>
                <w14:textFill>
                  <w14:solidFill>
                    <w14:schemeClr w14:val="tx1"/>
                  </w14:solidFill>
                </w14:textFill>
              </w:rPr>
            </m:ctrlPr>
          </m:num>
          <m:den>
            <m:r>
              <m:rPr>
                <m:sty m:val="p"/>
              </m:rPr>
              <w:rPr>
                <w:rFonts w:hint="default" w:ascii="Cambria Math" w:hAnsi="Cambria Math" w:eastAsia="仿宋" w:cs="Times New Roman"/>
                <w:color w:val="000000" w:themeColor="text1"/>
                <w:sz w:val="24"/>
                <w:szCs w:val="24"/>
                <w14:textFill>
                  <w14:solidFill>
                    <w14:schemeClr w14:val="tx1"/>
                  </w14:solidFill>
                </w14:textFill>
              </w:rPr>
              <m:t>市辖区建成区面积</m:t>
            </m:r>
            <m:ctrlPr>
              <w:rPr>
                <w:rFonts w:hint="default" w:ascii="Cambria Math" w:hAnsi="Cambria Math" w:eastAsia="仿宋" w:cs="Times New Roman"/>
                <w:iCs/>
                <w:color w:val="000000" w:themeColor="text1"/>
                <w:sz w:val="24"/>
                <w:szCs w:val="24"/>
                <w14:textFill>
                  <w14:solidFill>
                    <w14:schemeClr w14:val="tx1"/>
                  </w14:solidFill>
                </w14:textFill>
              </w:rPr>
            </m:ctrlPr>
          </m:den>
        </m:f>
        <m:r>
          <m:rPr>
            <m:sty m:val="p"/>
          </m:rPr>
          <w:rPr>
            <w:rFonts w:hint="default" w:ascii="Cambria Math" w:hAnsi="Cambria Math" w:eastAsia="仿宋" w:cs="Times New Roman"/>
            <w:color w:val="000000" w:themeColor="text1"/>
            <w:sz w:val="24"/>
            <w:szCs w:val="24"/>
            <w14:textFill>
              <w14:solidFill>
                <w14:schemeClr w14:val="tx1"/>
              </w14:solidFill>
            </w14:textFill>
          </w:rPr>
          <m:t>×1</m:t>
        </m:r>
      </m:oMath>
      <w:r>
        <w:rPr>
          <w:rFonts w:hint="default" w:ascii="Times New Roman" w:hAnsi="Times New Roman" w:eastAsia="仿宋" w:cs="Times New Roman"/>
          <w:iCs/>
          <w:color w:val="000000" w:themeColor="text1"/>
          <w:sz w:val="24"/>
          <w:szCs w:val="24"/>
          <w14:textFill>
            <w14:solidFill>
              <w14:schemeClr w14:val="tx1"/>
            </w14:solidFill>
          </w14:textFill>
        </w:rPr>
        <w:t>00%</w:t>
      </w:r>
    </w:p>
    <w:p w14:paraId="6537E2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数据来源：专业部门或街道提供，或可通过高分卫星影像分析获取。</w:t>
      </w:r>
    </w:p>
    <w:p w14:paraId="3786D62C">
      <w:pPr>
        <w:pStyle w:val="2"/>
        <w:ind w:firstLine="480"/>
        <w:rPr>
          <w:rFonts w:hint="default" w:ascii="Times New Roman" w:hAnsi="Times New Roman" w:eastAsia="仿宋" w:cs="Times New Roman"/>
          <w:sz w:val="24"/>
        </w:rPr>
      </w:pPr>
    </w:p>
    <w:p w14:paraId="375B1B9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pacing w:val="-3"/>
          <w:sz w:val="32"/>
          <w:szCs w:val="32"/>
        </w:rPr>
      </w:pPr>
    </w:p>
    <w:p w14:paraId="3473118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pacing w:val="-3"/>
          <w:sz w:val="32"/>
          <w:szCs w:val="32"/>
        </w:rPr>
      </w:pPr>
      <w:r>
        <w:rPr>
          <w:rFonts w:hint="default" w:ascii="Times New Roman" w:hAnsi="Times New Roman" w:eastAsia="仿宋_GB2312" w:cs="Times New Roman"/>
          <w:b/>
          <w:bCs/>
          <w:spacing w:val="-3"/>
          <w:sz w:val="32"/>
          <w:szCs w:val="32"/>
        </w:rPr>
        <w:t>指标7：城市地下管网普查归档率（%）</w:t>
      </w:r>
    </w:p>
    <w:p w14:paraId="42417B5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【体检内容】</w:t>
      </w:r>
    </w:p>
    <w:p w14:paraId="5C2F2B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市辖区已完成普查归档的地下管网长度占地下管网总长度的比例。其中，地下管网主要包括城市供水、排水、燃气、供热等管网。</w:t>
      </w:r>
    </w:p>
    <w:p w14:paraId="293C43E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【指标解释】</w:t>
      </w:r>
    </w:p>
    <w:p w14:paraId="4854EB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2025年城市地下管网普查归档率大于90%。</w:t>
      </w:r>
    </w:p>
    <w:p w14:paraId="23C8DA1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【体检方法】</w:t>
      </w:r>
    </w:p>
    <w:p w14:paraId="734A99DA">
      <w:pPr>
        <w:spacing w:line="360" w:lineRule="auto"/>
        <w:ind w:firstLine="640" w:firstLineChars="200"/>
        <w:rPr>
          <w:rFonts w:hint="default" w:ascii="Times New Roman" w:hAnsi="Times New Roman" w:eastAsia="仿宋" w:cs="Times New Roman"/>
          <w:iCs/>
          <w:color w:val="000000"/>
          <w:sz w:val="24"/>
          <w:szCs w:val="24"/>
        </w:rPr>
      </w:pPr>
      <w:r>
        <w:rPr>
          <w:rFonts w:hint="default" w:ascii="Times New Roman" w:hAnsi="Times New Roman" w:eastAsia="仿宋_GB2312" w:cs="Times New Roman"/>
          <w:iCs/>
          <w:color w:val="000000"/>
          <w:sz w:val="32"/>
          <w:szCs w:val="32"/>
        </w:rPr>
        <w:t>测算方法：</w:t>
      </w:r>
      <m:oMath>
        <m:f>
          <m:fPr>
            <m:ctrlPr>
              <w:rPr>
                <w:rFonts w:hint="default" w:ascii="Cambria Math" w:hAnsi="Cambria Math" w:eastAsia="仿宋" w:cs="Times New Roman"/>
                <w:iCs/>
                <w:color w:val="000000" w:themeColor="text1"/>
                <w:sz w:val="24"/>
                <w:szCs w:val="24"/>
                <w14:textFill>
                  <w14:solidFill>
                    <w14:schemeClr w14:val="tx1"/>
                  </w14:solidFill>
                </w14:textFill>
              </w:rPr>
            </m:ctrlPr>
          </m:fPr>
          <m:num>
            <m:r>
              <m:rPr>
                <m:sty m:val="p"/>
              </m:rPr>
              <w:rPr>
                <w:rFonts w:hint="default" w:ascii="Cambria Math" w:hAnsi="Cambria Math" w:eastAsia="仿宋" w:cs="Times New Roman"/>
                <w:color w:val="000000" w:themeColor="text1"/>
                <w:sz w:val="24"/>
                <w:szCs w:val="24"/>
                <w14:textFill>
                  <w14:solidFill>
                    <w14:schemeClr w14:val="tx1"/>
                  </w14:solidFill>
                </w14:textFill>
              </w:rPr>
              <m:t>市辖区已完成普查归档的地下管网长度</m:t>
            </m:r>
            <m:ctrlPr>
              <w:rPr>
                <w:rFonts w:hint="default" w:ascii="Cambria Math" w:hAnsi="Cambria Math" w:eastAsia="仿宋" w:cs="Times New Roman"/>
                <w:iCs/>
                <w:color w:val="000000" w:themeColor="text1"/>
                <w:sz w:val="24"/>
                <w:szCs w:val="24"/>
                <w14:textFill>
                  <w14:solidFill>
                    <w14:schemeClr w14:val="tx1"/>
                  </w14:solidFill>
                </w14:textFill>
              </w:rPr>
            </m:ctrlPr>
          </m:num>
          <m:den>
            <m:r>
              <m:rPr>
                <m:sty m:val="p"/>
              </m:rPr>
              <w:rPr>
                <w:rFonts w:hint="default" w:ascii="Cambria Math" w:hAnsi="Cambria Math" w:eastAsia="仿宋" w:cs="Times New Roman"/>
                <w:color w:val="000000" w:themeColor="text1"/>
                <w:sz w:val="24"/>
                <w:szCs w:val="24"/>
                <w14:textFill>
                  <w14:solidFill>
                    <w14:schemeClr w14:val="tx1"/>
                  </w14:solidFill>
                </w14:textFill>
              </w:rPr>
              <m:t>市辖区建成区面积</m:t>
            </m:r>
            <m:ctrlPr>
              <w:rPr>
                <w:rFonts w:hint="default" w:ascii="Cambria Math" w:hAnsi="Cambria Math" w:eastAsia="仿宋" w:cs="Times New Roman"/>
                <w:iCs/>
                <w:color w:val="000000" w:themeColor="text1"/>
                <w:sz w:val="24"/>
                <w:szCs w:val="24"/>
                <w14:textFill>
                  <w14:solidFill>
                    <w14:schemeClr w14:val="tx1"/>
                  </w14:solidFill>
                </w14:textFill>
              </w:rPr>
            </m:ctrlPr>
          </m:den>
        </m:f>
        <m:r>
          <m:rPr>
            <m:sty m:val="p"/>
          </m:rPr>
          <w:rPr>
            <w:rFonts w:hint="default" w:ascii="Cambria Math" w:hAnsi="Cambria Math" w:eastAsia="仿宋" w:cs="Times New Roman"/>
            <w:color w:val="000000" w:themeColor="text1"/>
            <w:sz w:val="24"/>
            <w:szCs w:val="24"/>
            <w14:textFill>
              <w14:solidFill>
                <w14:schemeClr w14:val="tx1"/>
              </w14:solidFill>
            </w14:textFill>
          </w:rPr>
          <m:t>×1</m:t>
        </m:r>
      </m:oMath>
      <w:r>
        <w:rPr>
          <w:rFonts w:hint="default" w:ascii="Times New Roman" w:hAnsi="Times New Roman" w:eastAsia="仿宋" w:cs="Times New Roman"/>
          <w:iCs/>
          <w:color w:val="000000" w:themeColor="text1"/>
          <w:sz w:val="24"/>
          <w:szCs w:val="24"/>
          <w14:textFill>
            <w14:solidFill>
              <w14:schemeClr w14:val="tx1"/>
            </w14:solidFill>
          </w14:textFill>
        </w:rPr>
        <w:t>00%</w:t>
      </w:r>
    </w:p>
    <w:p w14:paraId="50DE03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数据来源：专业部门或街道提供。</w:t>
      </w:r>
    </w:p>
    <w:p w14:paraId="125ED170">
      <w:pPr>
        <w:pStyle w:val="2"/>
        <w:rPr>
          <w:rFonts w:hint="default" w:ascii="Times New Roman" w:hAnsi="Times New Roman" w:cs="Times New Roman"/>
        </w:rPr>
      </w:pPr>
    </w:p>
    <w:p w14:paraId="586825E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pacing w:val="-3"/>
          <w:sz w:val="32"/>
          <w:szCs w:val="32"/>
        </w:rPr>
      </w:pPr>
      <w:r>
        <w:rPr>
          <w:rFonts w:hint="default" w:ascii="Times New Roman" w:hAnsi="Times New Roman" w:eastAsia="仿宋_GB2312" w:cs="Times New Roman"/>
          <w:b/>
          <w:bCs/>
          <w:spacing w:val="-3"/>
          <w:sz w:val="32"/>
          <w:szCs w:val="32"/>
        </w:rPr>
        <w:t>指标8：在城市信息模型平台（CIM）汇聚和应用BIM技术的项目数量（个）</w:t>
      </w:r>
    </w:p>
    <w:p w14:paraId="796004A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【体检内容】</w:t>
      </w:r>
    </w:p>
    <w:p w14:paraId="609EF5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市辖区范围在城市信息模型平台汇聚和应用的建筑工程中应用BIM技术的建筑工程项目数量。</w:t>
      </w:r>
    </w:p>
    <w:p w14:paraId="6C2510C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【体检方法】</w:t>
      </w:r>
    </w:p>
    <w:p w14:paraId="3823E2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数据来源：专业部门或街道提供。</w:t>
      </w:r>
    </w:p>
    <w:p w14:paraId="5E6E5047">
      <w:pPr>
        <w:rPr>
          <w:rFonts w:hint="default" w:ascii="Times New Roman" w:hAnsi="Times New Roman" w:eastAsia="仿宋" w:cs="Times New Roman"/>
          <w:b/>
          <w:bCs/>
          <w:color w:val="000000"/>
          <w:sz w:val="32"/>
          <w:szCs w:val="32"/>
        </w:rPr>
      </w:pPr>
      <w:r>
        <w:rPr>
          <w:rFonts w:hint="default" w:ascii="Times New Roman" w:hAnsi="Times New Roman" w:eastAsia="仿宋" w:cs="Times New Roman"/>
          <w:b/>
          <w:bCs/>
          <w:color w:val="000000"/>
          <w:sz w:val="32"/>
          <w:szCs w:val="32"/>
        </w:rPr>
        <w:br w:type="page"/>
      </w:r>
    </w:p>
    <w:p w14:paraId="4D960886">
      <w:pPr>
        <w:pStyle w:val="2"/>
        <w:ind w:left="0" w:leftChars="0" w:firstLine="0" w:firstLineChars="0"/>
        <w:outlineLvl w:val="0"/>
        <w:rPr>
          <w:rFonts w:hint="default" w:ascii="Times New Roman" w:hAnsi="Times New Roman" w:eastAsia="方正小标宋简体" w:cs="Times New Roman"/>
          <w:b w:val="0"/>
          <w:bCs w:val="0"/>
          <w:iCs/>
          <w:color w:val="000000"/>
          <w:sz w:val="32"/>
          <w:szCs w:val="32"/>
        </w:rPr>
      </w:pPr>
      <w:bookmarkStart w:id="26" w:name="_Toc194751796"/>
      <w:r>
        <w:rPr>
          <w:rFonts w:hint="default" w:ascii="Times New Roman" w:hAnsi="Times New Roman" w:eastAsia="方正小标宋简体" w:cs="Times New Roman"/>
          <w:b w:val="0"/>
          <w:bCs w:val="0"/>
          <w:color w:val="000000"/>
          <w:sz w:val="32"/>
          <w:szCs w:val="32"/>
        </w:rPr>
        <w:t>附录E 住房、小区（社区）、街区指标数据调查统计表</w:t>
      </w:r>
      <w:bookmarkEnd w:id="26"/>
    </w:p>
    <w:tbl>
      <w:tblPr>
        <w:tblStyle w:val="57"/>
        <w:tblW w:w="973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75"/>
        <w:gridCol w:w="480"/>
        <w:gridCol w:w="993"/>
        <w:gridCol w:w="1252"/>
        <w:gridCol w:w="1286"/>
        <w:gridCol w:w="1524"/>
        <w:gridCol w:w="189"/>
        <w:gridCol w:w="1134"/>
      </w:tblGrid>
      <w:tr w14:paraId="20516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9733" w:type="dxa"/>
            <w:gridSpan w:val="8"/>
            <w:vAlign w:val="center"/>
          </w:tcPr>
          <w:p w14:paraId="58B4DFEA">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eastAsia="仿宋_GB2312" w:cs="Times New Roman"/>
                <w:sz w:val="31"/>
                <w:szCs w:val="31"/>
              </w:rPr>
            </w:pPr>
            <w:r>
              <w:rPr>
                <w:rFonts w:hint="default" w:ascii="Times New Roman" w:hAnsi="Times New Roman" w:eastAsia="黑体" w:cs="Times New Roman"/>
                <w:spacing w:val="32"/>
                <w:sz w:val="31"/>
                <w:szCs w:val="31"/>
              </w:rPr>
              <w:t>住</w:t>
            </w:r>
            <w:r>
              <w:rPr>
                <w:rFonts w:hint="default" w:ascii="Times New Roman" w:hAnsi="Times New Roman" w:eastAsia="黑体" w:cs="Times New Roman"/>
                <w:spacing w:val="20"/>
                <w:sz w:val="31"/>
                <w:szCs w:val="31"/>
              </w:rPr>
              <w:t>房维度城市体检指标调研汇总表（样例）</w:t>
            </w:r>
          </w:p>
        </w:tc>
      </w:tr>
      <w:tr w14:paraId="326CA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9733" w:type="dxa"/>
            <w:gridSpan w:val="8"/>
            <w:vAlign w:val="center"/>
          </w:tcPr>
          <w:p w14:paraId="0D1E9847">
            <w:pPr>
              <w:keepNext w:val="0"/>
              <w:keepLines w:val="0"/>
              <w:pageBreakBefore w:val="0"/>
              <w:widowControl w:val="0"/>
              <w:kinsoku/>
              <w:wordWrap/>
              <w:overflowPunct/>
              <w:topLinePunct w:val="0"/>
              <w:autoSpaceDE/>
              <w:autoSpaceDN/>
              <w:bidi w:val="0"/>
              <w:adjustRightInd/>
              <w:snapToGrid/>
              <w:spacing w:line="240" w:lineRule="exact"/>
              <w:ind w:left="134"/>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2"/>
                <w:sz w:val="24"/>
                <w:szCs w:val="24"/>
              </w:rPr>
              <w:t>第一部分：基本信息</w:t>
            </w:r>
          </w:p>
        </w:tc>
      </w:tr>
      <w:tr w14:paraId="6B3BE4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2875" w:type="dxa"/>
            <w:vAlign w:val="center"/>
          </w:tcPr>
          <w:p w14:paraId="324CE7A3">
            <w:pPr>
              <w:keepNext w:val="0"/>
              <w:keepLines w:val="0"/>
              <w:pageBreakBefore w:val="0"/>
              <w:widowControl w:val="0"/>
              <w:kinsoku/>
              <w:wordWrap/>
              <w:overflowPunct/>
              <w:topLinePunct w:val="0"/>
              <w:autoSpaceDE/>
              <w:autoSpaceDN/>
              <w:bidi w:val="0"/>
              <w:adjustRightInd/>
              <w:snapToGrid/>
              <w:spacing w:line="240" w:lineRule="exact"/>
              <w:ind w:left="131"/>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0"/>
                <w:szCs w:val="21"/>
              </w:rPr>
              <w:t>1</w:t>
            </w:r>
            <w:r>
              <w:rPr>
                <w:rFonts w:hint="default" w:ascii="Times New Roman" w:hAnsi="Times New Roman" w:eastAsia="仿宋_GB2312" w:cs="Times New Roman"/>
                <w:spacing w:val="-9"/>
                <w:szCs w:val="21"/>
              </w:rPr>
              <w:t>.1 小区名称</w:t>
            </w:r>
          </w:p>
        </w:tc>
        <w:tc>
          <w:tcPr>
            <w:tcW w:w="6858" w:type="dxa"/>
            <w:gridSpan w:val="7"/>
            <w:vAlign w:val="center"/>
          </w:tcPr>
          <w:p w14:paraId="42870404">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r>
      <w:tr w14:paraId="3C41F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jc w:val="center"/>
        </w:trPr>
        <w:tc>
          <w:tcPr>
            <w:tcW w:w="2875" w:type="dxa"/>
            <w:vAlign w:val="center"/>
          </w:tcPr>
          <w:p w14:paraId="14ED9FB7">
            <w:pPr>
              <w:keepNext w:val="0"/>
              <w:keepLines w:val="0"/>
              <w:pageBreakBefore w:val="0"/>
              <w:widowControl w:val="0"/>
              <w:kinsoku/>
              <w:wordWrap/>
              <w:overflowPunct/>
              <w:topLinePunct w:val="0"/>
              <w:autoSpaceDE/>
              <w:autoSpaceDN/>
              <w:bidi w:val="0"/>
              <w:adjustRightInd/>
              <w:snapToGrid/>
              <w:spacing w:line="240" w:lineRule="exact"/>
              <w:ind w:left="131"/>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0"/>
                <w:szCs w:val="21"/>
              </w:rPr>
              <w:t>1</w:t>
            </w:r>
            <w:r>
              <w:rPr>
                <w:rFonts w:hint="default" w:ascii="Times New Roman" w:hAnsi="Times New Roman" w:eastAsia="仿宋_GB2312" w:cs="Times New Roman"/>
                <w:spacing w:val="-9"/>
                <w:szCs w:val="21"/>
              </w:rPr>
              <w:t>.2 小区地址</w:t>
            </w:r>
          </w:p>
        </w:tc>
        <w:tc>
          <w:tcPr>
            <w:tcW w:w="6858" w:type="dxa"/>
            <w:gridSpan w:val="7"/>
            <w:vAlign w:val="center"/>
          </w:tcPr>
          <w:p w14:paraId="4C080CB5">
            <w:pPr>
              <w:keepNext w:val="0"/>
              <w:keepLines w:val="0"/>
              <w:pageBreakBefore w:val="0"/>
              <w:widowControl w:val="0"/>
              <w:kinsoku/>
              <w:wordWrap/>
              <w:overflowPunct/>
              <w:topLinePunct w:val="0"/>
              <w:autoSpaceDE/>
              <w:autoSpaceDN/>
              <w:bidi w:val="0"/>
              <w:adjustRightInd/>
              <w:snapToGrid/>
              <w:spacing w:line="240" w:lineRule="exact"/>
              <w:ind w:left="104" w:right="354"/>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0"/>
                <w:szCs w:val="21"/>
              </w:rPr>
              <w:t>_</w:t>
            </w:r>
            <w:r>
              <w:rPr>
                <w:rFonts w:hint="default" w:ascii="Times New Roman" w:hAnsi="Times New Roman" w:eastAsia="仿宋_GB2312" w:cs="Times New Roman"/>
                <w:spacing w:val="7"/>
                <w:szCs w:val="21"/>
              </w:rPr>
              <w:t>______省（市、区） _______市（州、盟） _______县（市、区、旗）</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6"/>
                <w:szCs w:val="21"/>
              </w:rPr>
              <w:t>___</w:t>
            </w:r>
            <w:r>
              <w:rPr>
                <w:rFonts w:hint="default" w:ascii="Times New Roman" w:hAnsi="Times New Roman" w:eastAsia="仿宋_GB2312" w:cs="Times New Roman"/>
                <w:spacing w:val="3"/>
                <w:szCs w:val="21"/>
              </w:rPr>
              <w:t>____街道（镇） _________社区_________小区</w:t>
            </w:r>
          </w:p>
          <w:p w14:paraId="752D5CE1">
            <w:pPr>
              <w:keepNext w:val="0"/>
              <w:keepLines w:val="0"/>
              <w:pageBreakBefore w:val="0"/>
              <w:widowControl w:val="0"/>
              <w:kinsoku/>
              <w:wordWrap/>
              <w:overflowPunct/>
              <w:topLinePunct w:val="0"/>
              <w:autoSpaceDE/>
              <w:autoSpaceDN/>
              <w:bidi w:val="0"/>
              <w:adjustRightInd/>
              <w:snapToGrid/>
              <w:spacing w:line="240" w:lineRule="exact"/>
              <w:ind w:left="118" w:right="284" w:firstLine="5"/>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注</w:t>
            </w:r>
            <w:r>
              <w:rPr>
                <w:rFonts w:hint="default" w:ascii="Times New Roman" w:hAnsi="Times New Roman" w:eastAsia="仿宋_GB2312" w:cs="Times New Roman"/>
                <w:spacing w:val="-2"/>
                <w:szCs w:val="21"/>
              </w:rPr>
              <w:t xml:space="preserve"> 1：历史文化街区按历史街区范围填写，其他非小区类型的住宅片区</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1"/>
                <w:szCs w:val="21"/>
              </w:rPr>
              <w:t>按社区实际管理单元填写</w:t>
            </w:r>
            <w:r>
              <w:rPr>
                <w:rFonts w:hint="default" w:ascii="Times New Roman" w:hAnsi="Times New Roman" w:eastAsia="仿宋_GB2312" w:cs="Times New Roman"/>
                <w:szCs w:val="21"/>
              </w:rPr>
              <w:t>。</w:t>
            </w:r>
          </w:p>
          <w:p w14:paraId="0B1F878B">
            <w:pPr>
              <w:keepNext w:val="0"/>
              <w:keepLines w:val="0"/>
              <w:pageBreakBefore w:val="0"/>
              <w:widowControl w:val="0"/>
              <w:kinsoku/>
              <w:wordWrap/>
              <w:overflowPunct/>
              <w:topLinePunct w:val="0"/>
              <w:autoSpaceDE/>
              <w:autoSpaceDN/>
              <w:bidi w:val="0"/>
              <w:adjustRightInd/>
              <w:snapToGrid/>
              <w:spacing w:line="240" w:lineRule="exact"/>
              <w:ind w:left="124"/>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5"/>
                <w:szCs w:val="21"/>
              </w:rPr>
              <w:t>注</w:t>
            </w:r>
            <w:r>
              <w:rPr>
                <w:rFonts w:hint="default" w:ascii="Times New Roman" w:hAnsi="Times New Roman" w:eastAsia="仿宋_GB2312" w:cs="Times New Roman"/>
                <w:spacing w:val="-3"/>
                <w:szCs w:val="21"/>
              </w:rPr>
              <w:t xml:space="preserve"> 2：各社区汇总数据应涵盖辖区内所有住宅。</w:t>
            </w:r>
          </w:p>
        </w:tc>
      </w:tr>
      <w:tr w14:paraId="709C54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2875" w:type="dxa"/>
            <w:vAlign w:val="center"/>
          </w:tcPr>
          <w:p w14:paraId="4E87AC75">
            <w:pPr>
              <w:keepNext w:val="0"/>
              <w:keepLines w:val="0"/>
              <w:pageBreakBefore w:val="0"/>
              <w:widowControl w:val="0"/>
              <w:kinsoku/>
              <w:wordWrap/>
              <w:overflowPunct/>
              <w:topLinePunct w:val="0"/>
              <w:autoSpaceDE/>
              <w:autoSpaceDN/>
              <w:bidi w:val="0"/>
              <w:adjustRightInd/>
              <w:snapToGrid/>
              <w:spacing w:line="240" w:lineRule="exact"/>
              <w:ind w:left="131"/>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0"/>
                <w:szCs w:val="21"/>
              </w:rPr>
              <w:t>1</w:t>
            </w:r>
            <w:r>
              <w:rPr>
                <w:rFonts w:hint="default" w:ascii="Times New Roman" w:hAnsi="Times New Roman" w:eastAsia="仿宋_GB2312" w:cs="Times New Roman"/>
                <w:spacing w:val="-9"/>
                <w:szCs w:val="21"/>
              </w:rPr>
              <w:t>.3 小区类型</w:t>
            </w:r>
          </w:p>
        </w:tc>
        <w:tc>
          <w:tcPr>
            <w:tcW w:w="6858" w:type="dxa"/>
            <w:gridSpan w:val="7"/>
            <w:vAlign w:val="center"/>
          </w:tcPr>
          <w:p w14:paraId="0BA81DC7">
            <w:pPr>
              <w:keepNext w:val="0"/>
              <w:keepLines w:val="0"/>
              <w:pageBreakBefore w:val="0"/>
              <w:widowControl w:val="0"/>
              <w:kinsoku/>
              <w:wordWrap/>
              <w:overflowPunct/>
              <w:topLinePunct w:val="0"/>
              <w:autoSpaceDE/>
              <w:autoSpaceDN/>
              <w:bidi w:val="0"/>
              <w:adjustRightInd/>
              <w:snapToGrid/>
              <w:spacing w:line="240" w:lineRule="exact"/>
              <w:ind w:left="133"/>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□商品房  □保障房  □历史文化街区  □其他___</w:t>
            </w:r>
            <w:r>
              <w:rPr>
                <w:rFonts w:hint="default" w:ascii="Times New Roman" w:hAnsi="Times New Roman" w:eastAsia="仿宋_GB2312" w:cs="Times New Roman"/>
                <w:szCs w:val="21"/>
              </w:rPr>
              <w:t>___</w:t>
            </w:r>
          </w:p>
        </w:tc>
      </w:tr>
      <w:tr w14:paraId="7F650A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2875" w:type="dxa"/>
            <w:vAlign w:val="center"/>
          </w:tcPr>
          <w:p w14:paraId="41B60212">
            <w:pPr>
              <w:keepNext w:val="0"/>
              <w:keepLines w:val="0"/>
              <w:pageBreakBefore w:val="0"/>
              <w:widowControl w:val="0"/>
              <w:kinsoku/>
              <w:wordWrap/>
              <w:overflowPunct/>
              <w:topLinePunct w:val="0"/>
              <w:autoSpaceDE/>
              <w:autoSpaceDN/>
              <w:bidi w:val="0"/>
              <w:adjustRightInd/>
              <w:snapToGrid/>
              <w:spacing w:line="240" w:lineRule="exact"/>
              <w:ind w:left="131"/>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0"/>
                <w:szCs w:val="21"/>
              </w:rPr>
              <w:t>1</w:t>
            </w:r>
            <w:r>
              <w:rPr>
                <w:rFonts w:hint="default" w:ascii="Times New Roman" w:hAnsi="Times New Roman" w:eastAsia="仿宋_GB2312" w:cs="Times New Roman"/>
                <w:spacing w:val="-9"/>
                <w:szCs w:val="21"/>
              </w:rPr>
              <w:t>.4 建造时间</w:t>
            </w:r>
          </w:p>
        </w:tc>
        <w:tc>
          <w:tcPr>
            <w:tcW w:w="2725" w:type="dxa"/>
            <w:gridSpan w:val="3"/>
            <w:vAlign w:val="center"/>
          </w:tcPr>
          <w:p w14:paraId="3F6D4BF9">
            <w:pPr>
              <w:keepNext w:val="0"/>
              <w:keepLines w:val="0"/>
              <w:pageBreakBefore w:val="0"/>
              <w:widowControl w:val="0"/>
              <w:kinsoku/>
              <w:wordWrap/>
              <w:overflowPunct/>
              <w:topLinePunct w:val="0"/>
              <w:autoSpaceDE/>
              <w:autoSpaceDN/>
              <w:bidi w:val="0"/>
              <w:adjustRightInd/>
              <w:snapToGrid/>
              <w:spacing w:line="240" w:lineRule="exact"/>
              <w:ind w:left="104"/>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3"/>
                <w:szCs w:val="21"/>
              </w:rPr>
              <w:t>_</w:t>
            </w:r>
            <w:r>
              <w:rPr>
                <w:rFonts w:hint="default" w:ascii="Times New Roman" w:hAnsi="Times New Roman" w:eastAsia="仿宋_GB2312" w:cs="Times New Roman"/>
                <w:spacing w:val="2"/>
                <w:szCs w:val="21"/>
              </w:rPr>
              <w:t>_____年</w:t>
            </w:r>
          </w:p>
        </w:tc>
        <w:tc>
          <w:tcPr>
            <w:tcW w:w="1286" w:type="dxa"/>
            <w:vAlign w:val="center"/>
          </w:tcPr>
          <w:p w14:paraId="04210A2E">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1524" w:type="dxa"/>
            <w:vAlign w:val="center"/>
          </w:tcPr>
          <w:p w14:paraId="3DC8FE6B">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1323" w:type="dxa"/>
            <w:gridSpan w:val="2"/>
            <w:vAlign w:val="center"/>
          </w:tcPr>
          <w:p w14:paraId="056704E9">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r>
      <w:tr w14:paraId="7C6A2D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2875" w:type="dxa"/>
            <w:vAlign w:val="center"/>
          </w:tcPr>
          <w:p w14:paraId="736D802D">
            <w:pPr>
              <w:keepNext w:val="0"/>
              <w:keepLines w:val="0"/>
              <w:pageBreakBefore w:val="0"/>
              <w:widowControl w:val="0"/>
              <w:kinsoku/>
              <w:wordWrap/>
              <w:overflowPunct/>
              <w:topLinePunct w:val="0"/>
              <w:autoSpaceDE/>
              <w:autoSpaceDN/>
              <w:bidi w:val="0"/>
              <w:adjustRightInd/>
              <w:snapToGrid/>
              <w:spacing w:line="240" w:lineRule="exact"/>
              <w:ind w:left="131"/>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6"/>
                <w:szCs w:val="21"/>
              </w:rPr>
              <w:t>1.5 老旧小区改造情况</w:t>
            </w:r>
          </w:p>
        </w:tc>
        <w:tc>
          <w:tcPr>
            <w:tcW w:w="6858" w:type="dxa"/>
            <w:gridSpan w:val="7"/>
            <w:vAlign w:val="center"/>
          </w:tcPr>
          <w:p w14:paraId="4D6003C1">
            <w:pPr>
              <w:keepNext w:val="0"/>
              <w:keepLines w:val="0"/>
              <w:pageBreakBefore w:val="0"/>
              <w:widowControl w:val="0"/>
              <w:kinsoku/>
              <w:wordWrap/>
              <w:overflowPunct/>
              <w:topLinePunct w:val="0"/>
              <w:autoSpaceDE/>
              <w:autoSpaceDN/>
              <w:bidi w:val="0"/>
              <w:adjustRightInd/>
              <w:snapToGrid/>
              <w:spacing w:line="240" w:lineRule="exact"/>
              <w:ind w:left="133"/>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2"/>
                <w:szCs w:val="21"/>
              </w:rPr>
              <w:t>□未开展  □进行</w:t>
            </w:r>
            <w:r>
              <w:rPr>
                <w:rFonts w:hint="default" w:ascii="Times New Roman" w:hAnsi="Times New Roman" w:eastAsia="仿宋_GB2312" w:cs="Times New Roman"/>
                <w:spacing w:val="-1"/>
                <w:szCs w:val="21"/>
              </w:rPr>
              <w:t>中  □已完成</w:t>
            </w:r>
          </w:p>
        </w:tc>
      </w:tr>
      <w:tr w14:paraId="23966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2875" w:type="dxa"/>
            <w:vAlign w:val="center"/>
          </w:tcPr>
          <w:p w14:paraId="4FB4F3C0">
            <w:pPr>
              <w:keepNext w:val="0"/>
              <w:keepLines w:val="0"/>
              <w:pageBreakBefore w:val="0"/>
              <w:widowControl w:val="0"/>
              <w:kinsoku/>
              <w:wordWrap/>
              <w:overflowPunct/>
              <w:topLinePunct w:val="0"/>
              <w:autoSpaceDE/>
              <w:autoSpaceDN/>
              <w:bidi w:val="0"/>
              <w:adjustRightInd/>
              <w:snapToGrid/>
              <w:spacing w:line="240" w:lineRule="exact"/>
              <w:ind w:left="131"/>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0"/>
                <w:szCs w:val="21"/>
              </w:rPr>
              <w:t>1</w:t>
            </w:r>
            <w:r>
              <w:rPr>
                <w:rFonts w:hint="default" w:ascii="Times New Roman" w:hAnsi="Times New Roman" w:eastAsia="仿宋_GB2312" w:cs="Times New Roman"/>
                <w:spacing w:val="-9"/>
                <w:szCs w:val="21"/>
              </w:rPr>
              <w:t>.6 物业管理</w:t>
            </w:r>
          </w:p>
        </w:tc>
        <w:tc>
          <w:tcPr>
            <w:tcW w:w="2725" w:type="dxa"/>
            <w:gridSpan w:val="3"/>
            <w:vAlign w:val="center"/>
          </w:tcPr>
          <w:p w14:paraId="46F15132">
            <w:pPr>
              <w:keepNext w:val="0"/>
              <w:keepLines w:val="0"/>
              <w:pageBreakBefore w:val="0"/>
              <w:widowControl w:val="0"/>
              <w:kinsoku/>
              <w:wordWrap/>
              <w:overflowPunct/>
              <w:topLinePunct w:val="0"/>
              <w:autoSpaceDE/>
              <w:autoSpaceDN/>
              <w:bidi w:val="0"/>
              <w:adjustRightInd/>
              <w:snapToGrid/>
              <w:spacing w:line="240" w:lineRule="exact"/>
              <w:ind w:left="133"/>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7"/>
                <w:szCs w:val="21"/>
              </w:rPr>
              <w:t>□有</w:t>
            </w:r>
          </w:p>
        </w:tc>
        <w:tc>
          <w:tcPr>
            <w:tcW w:w="2810" w:type="dxa"/>
            <w:gridSpan w:val="2"/>
            <w:vAlign w:val="center"/>
          </w:tcPr>
          <w:p w14:paraId="55A56D9B">
            <w:pPr>
              <w:keepNext w:val="0"/>
              <w:keepLines w:val="0"/>
              <w:pageBreakBefore w:val="0"/>
              <w:widowControl w:val="0"/>
              <w:kinsoku/>
              <w:wordWrap/>
              <w:overflowPunct/>
              <w:topLinePunct w:val="0"/>
              <w:autoSpaceDE/>
              <w:autoSpaceDN/>
              <w:bidi w:val="0"/>
              <w:adjustRightInd/>
              <w:snapToGrid/>
              <w:spacing w:line="240" w:lineRule="exact"/>
              <w:ind w:left="135"/>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7"/>
                <w:szCs w:val="21"/>
              </w:rPr>
              <w:t>□无</w:t>
            </w:r>
          </w:p>
        </w:tc>
        <w:tc>
          <w:tcPr>
            <w:tcW w:w="1323" w:type="dxa"/>
            <w:gridSpan w:val="2"/>
            <w:vAlign w:val="center"/>
          </w:tcPr>
          <w:p w14:paraId="1B83982D">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r>
      <w:tr w14:paraId="45E961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2875" w:type="dxa"/>
            <w:vAlign w:val="center"/>
          </w:tcPr>
          <w:p w14:paraId="3CEDB394">
            <w:pPr>
              <w:keepNext w:val="0"/>
              <w:keepLines w:val="0"/>
              <w:pageBreakBefore w:val="0"/>
              <w:widowControl w:val="0"/>
              <w:kinsoku/>
              <w:wordWrap/>
              <w:overflowPunct/>
              <w:topLinePunct w:val="0"/>
              <w:autoSpaceDE/>
              <w:autoSpaceDN/>
              <w:bidi w:val="0"/>
              <w:adjustRightInd/>
              <w:snapToGrid/>
              <w:spacing w:line="240" w:lineRule="exact"/>
              <w:ind w:left="131"/>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9"/>
                <w:szCs w:val="21"/>
              </w:rPr>
              <w:t>1</w:t>
            </w:r>
            <w:r>
              <w:rPr>
                <w:rFonts w:hint="default" w:ascii="Times New Roman" w:hAnsi="Times New Roman" w:eastAsia="仿宋_GB2312" w:cs="Times New Roman"/>
                <w:spacing w:val="-8"/>
                <w:szCs w:val="21"/>
              </w:rPr>
              <w:t>.7 总建筑面积</w:t>
            </w:r>
          </w:p>
        </w:tc>
        <w:tc>
          <w:tcPr>
            <w:tcW w:w="2725" w:type="dxa"/>
            <w:gridSpan w:val="3"/>
            <w:vAlign w:val="center"/>
          </w:tcPr>
          <w:p w14:paraId="1C1B50A8">
            <w:pPr>
              <w:keepNext w:val="0"/>
              <w:keepLines w:val="0"/>
              <w:pageBreakBefore w:val="0"/>
              <w:widowControl w:val="0"/>
              <w:kinsoku/>
              <w:wordWrap/>
              <w:overflowPunct/>
              <w:topLinePunct w:val="0"/>
              <w:autoSpaceDE/>
              <w:autoSpaceDN/>
              <w:bidi w:val="0"/>
              <w:adjustRightInd/>
              <w:snapToGrid/>
              <w:spacing w:line="240" w:lineRule="exact"/>
              <w:ind w:left="104"/>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___</w:t>
            </w:r>
            <w:r>
              <w:rPr>
                <w:rFonts w:hint="default" w:ascii="Times New Roman" w:hAnsi="Times New Roman" w:eastAsia="仿宋_GB2312" w:cs="Times New Roman"/>
                <w:szCs w:val="21"/>
              </w:rPr>
              <w:t>____平方米</w:t>
            </w:r>
          </w:p>
        </w:tc>
        <w:tc>
          <w:tcPr>
            <w:tcW w:w="1286" w:type="dxa"/>
            <w:vAlign w:val="center"/>
          </w:tcPr>
          <w:p w14:paraId="54E5FB09">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1524" w:type="dxa"/>
            <w:vAlign w:val="center"/>
          </w:tcPr>
          <w:p w14:paraId="69160A6D">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1323" w:type="dxa"/>
            <w:gridSpan w:val="2"/>
            <w:vAlign w:val="center"/>
          </w:tcPr>
          <w:p w14:paraId="0551952D">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r>
      <w:tr w14:paraId="3A5231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2875" w:type="dxa"/>
            <w:vAlign w:val="center"/>
          </w:tcPr>
          <w:p w14:paraId="416FDC9D">
            <w:pPr>
              <w:keepNext w:val="0"/>
              <w:keepLines w:val="0"/>
              <w:pageBreakBefore w:val="0"/>
              <w:widowControl w:val="0"/>
              <w:kinsoku/>
              <w:wordWrap/>
              <w:overflowPunct/>
              <w:topLinePunct w:val="0"/>
              <w:autoSpaceDE/>
              <w:autoSpaceDN/>
              <w:bidi w:val="0"/>
              <w:adjustRightInd/>
              <w:snapToGrid/>
              <w:spacing w:line="240" w:lineRule="exact"/>
              <w:ind w:left="131"/>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9"/>
                <w:szCs w:val="21"/>
              </w:rPr>
              <w:t>1</w:t>
            </w:r>
            <w:r>
              <w:rPr>
                <w:rFonts w:hint="default" w:ascii="Times New Roman" w:hAnsi="Times New Roman" w:eastAsia="仿宋_GB2312" w:cs="Times New Roman"/>
                <w:spacing w:val="-8"/>
                <w:szCs w:val="21"/>
              </w:rPr>
              <w:t>.8 住宅总套数</w:t>
            </w:r>
          </w:p>
        </w:tc>
        <w:tc>
          <w:tcPr>
            <w:tcW w:w="2725" w:type="dxa"/>
            <w:gridSpan w:val="3"/>
            <w:vAlign w:val="center"/>
          </w:tcPr>
          <w:p w14:paraId="46245BB9">
            <w:pPr>
              <w:keepNext w:val="0"/>
              <w:keepLines w:val="0"/>
              <w:pageBreakBefore w:val="0"/>
              <w:widowControl w:val="0"/>
              <w:kinsoku/>
              <w:wordWrap/>
              <w:overflowPunct/>
              <w:topLinePunct w:val="0"/>
              <w:autoSpaceDE/>
              <w:autoSpaceDN/>
              <w:bidi w:val="0"/>
              <w:adjustRightInd/>
              <w:snapToGrid/>
              <w:spacing w:line="240" w:lineRule="exact"/>
              <w:ind w:left="104"/>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2"/>
                <w:szCs w:val="21"/>
              </w:rPr>
              <w:t>_______</w:t>
            </w:r>
            <w:r>
              <w:rPr>
                <w:rFonts w:hint="default" w:ascii="Times New Roman" w:hAnsi="Times New Roman" w:eastAsia="仿宋_GB2312" w:cs="Times New Roman"/>
                <w:spacing w:val="1"/>
                <w:szCs w:val="21"/>
              </w:rPr>
              <w:t>套</w:t>
            </w:r>
          </w:p>
        </w:tc>
        <w:tc>
          <w:tcPr>
            <w:tcW w:w="1286" w:type="dxa"/>
            <w:vAlign w:val="center"/>
          </w:tcPr>
          <w:p w14:paraId="2F692985">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1524" w:type="dxa"/>
            <w:vAlign w:val="center"/>
          </w:tcPr>
          <w:p w14:paraId="3B162A74">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1323" w:type="dxa"/>
            <w:gridSpan w:val="2"/>
            <w:vAlign w:val="center"/>
          </w:tcPr>
          <w:p w14:paraId="47F3CC93">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r>
      <w:tr w14:paraId="48C952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2875" w:type="dxa"/>
            <w:vAlign w:val="center"/>
          </w:tcPr>
          <w:p w14:paraId="4051316B">
            <w:pPr>
              <w:keepNext w:val="0"/>
              <w:keepLines w:val="0"/>
              <w:pageBreakBefore w:val="0"/>
              <w:widowControl w:val="0"/>
              <w:kinsoku/>
              <w:wordWrap/>
              <w:overflowPunct/>
              <w:topLinePunct w:val="0"/>
              <w:autoSpaceDE/>
              <w:autoSpaceDN/>
              <w:bidi w:val="0"/>
              <w:adjustRightInd/>
              <w:snapToGrid/>
              <w:spacing w:line="240" w:lineRule="exact"/>
              <w:ind w:left="131"/>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0"/>
                <w:szCs w:val="21"/>
              </w:rPr>
              <w:t>1</w:t>
            </w:r>
            <w:r>
              <w:rPr>
                <w:rFonts w:hint="default" w:ascii="Times New Roman" w:hAnsi="Times New Roman" w:eastAsia="仿宋_GB2312" w:cs="Times New Roman"/>
                <w:spacing w:val="-9"/>
                <w:szCs w:val="21"/>
              </w:rPr>
              <w:t>.9 常住人口</w:t>
            </w:r>
          </w:p>
        </w:tc>
        <w:tc>
          <w:tcPr>
            <w:tcW w:w="2725" w:type="dxa"/>
            <w:gridSpan w:val="3"/>
            <w:vAlign w:val="center"/>
          </w:tcPr>
          <w:p w14:paraId="6669CEF9">
            <w:pPr>
              <w:keepNext w:val="0"/>
              <w:keepLines w:val="0"/>
              <w:pageBreakBefore w:val="0"/>
              <w:widowControl w:val="0"/>
              <w:kinsoku/>
              <w:wordWrap/>
              <w:overflowPunct/>
              <w:topLinePunct w:val="0"/>
              <w:autoSpaceDE/>
              <w:autoSpaceDN/>
              <w:bidi w:val="0"/>
              <w:adjustRightInd/>
              <w:snapToGrid/>
              <w:spacing w:line="240" w:lineRule="exact"/>
              <w:ind w:left="104"/>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3"/>
                <w:szCs w:val="21"/>
              </w:rPr>
              <w:t>_</w:t>
            </w:r>
            <w:r>
              <w:rPr>
                <w:rFonts w:hint="default" w:ascii="Times New Roman" w:hAnsi="Times New Roman" w:eastAsia="仿宋_GB2312" w:cs="Times New Roman"/>
                <w:spacing w:val="2"/>
                <w:szCs w:val="21"/>
              </w:rPr>
              <w:t>_____人</w:t>
            </w:r>
          </w:p>
        </w:tc>
        <w:tc>
          <w:tcPr>
            <w:tcW w:w="1286" w:type="dxa"/>
            <w:vAlign w:val="center"/>
          </w:tcPr>
          <w:p w14:paraId="7391A35E">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1524" w:type="dxa"/>
            <w:vAlign w:val="center"/>
          </w:tcPr>
          <w:p w14:paraId="2B887C18">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1323" w:type="dxa"/>
            <w:gridSpan w:val="2"/>
            <w:vAlign w:val="center"/>
          </w:tcPr>
          <w:p w14:paraId="747BD8DE">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r>
      <w:tr w14:paraId="7418B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2875" w:type="dxa"/>
            <w:vAlign w:val="center"/>
          </w:tcPr>
          <w:p w14:paraId="39A777C8">
            <w:pPr>
              <w:keepNext w:val="0"/>
              <w:keepLines w:val="0"/>
              <w:pageBreakBefore w:val="0"/>
              <w:widowControl w:val="0"/>
              <w:kinsoku/>
              <w:wordWrap/>
              <w:overflowPunct/>
              <w:topLinePunct w:val="0"/>
              <w:autoSpaceDE/>
              <w:autoSpaceDN/>
              <w:bidi w:val="0"/>
              <w:adjustRightInd/>
              <w:snapToGrid/>
              <w:spacing w:line="240" w:lineRule="exact"/>
              <w:ind w:left="131"/>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8"/>
                <w:szCs w:val="21"/>
              </w:rPr>
              <w:t>1</w:t>
            </w:r>
            <w:r>
              <w:rPr>
                <w:rFonts w:hint="default" w:ascii="Times New Roman" w:hAnsi="Times New Roman" w:eastAsia="仿宋_GB2312" w:cs="Times New Roman"/>
                <w:spacing w:val="-5"/>
                <w:szCs w:val="21"/>
              </w:rPr>
              <w:t>.10 六十岁以上常住人口</w:t>
            </w:r>
          </w:p>
        </w:tc>
        <w:tc>
          <w:tcPr>
            <w:tcW w:w="2725" w:type="dxa"/>
            <w:gridSpan w:val="3"/>
            <w:vAlign w:val="center"/>
          </w:tcPr>
          <w:p w14:paraId="104EEF7D">
            <w:pPr>
              <w:keepNext w:val="0"/>
              <w:keepLines w:val="0"/>
              <w:pageBreakBefore w:val="0"/>
              <w:widowControl w:val="0"/>
              <w:kinsoku/>
              <w:wordWrap/>
              <w:overflowPunct/>
              <w:topLinePunct w:val="0"/>
              <w:autoSpaceDE/>
              <w:autoSpaceDN/>
              <w:bidi w:val="0"/>
              <w:adjustRightInd/>
              <w:snapToGrid/>
              <w:spacing w:line="240" w:lineRule="exact"/>
              <w:ind w:left="104"/>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3"/>
                <w:szCs w:val="21"/>
              </w:rPr>
              <w:t>_</w:t>
            </w:r>
            <w:r>
              <w:rPr>
                <w:rFonts w:hint="default" w:ascii="Times New Roman" w:hAnsi="Times New Roman" w:eastAsia="仿宋_GB2312" w:cs="Times New Roman"/>
                <w:spacing w:val="2"/>
                <w:szCs w:val="21"/>
              </w:rPr>
              <w:t>_____人</w:t>
            </w:r>
          </w:p>
        </w:tc>
        <w:tc>
          <w:tcPr>
            <w:tcW w:w="1286" w:type="dxa"/>
            <w:vAlign w:val="center"/>
          </w:tcPr>
          <w:p w14:paraId="587BE872">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1524" w:type="dxa"/>
            <w:vAlign w:val="center"/>
          </w:tcPr>
          <w:p w14:paraId="7CE73245">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1323" w:type="dxa"/>
            <w:gridSpan w:val="2"/>
            <w:vAlign w:val="center"/>
          </w:tcPr>
          <w:p w14:paraId="1DC1A6EF">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r>
      <w:tr w14:paraId="19CBD4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2875" w:type="dxa"/>
            <w:vAlign w:val="center"/>
          </w:tcPr>
          <w:p w14:paraId="39167524">
            <w:pPr>
              <w:keepNext w:val="0"/>
              <w:keepLines w:val="0"/>
              <w:pageBreakBefore w:val="0"/>
              <w:widowControl w:val="0"/>
              <w:kinsoku/>
              <w:wordWrap/>
              <w:overflowPunct/>
              <w:topLinePunct w:val="0"/>
              <w:autoSpaceDE/>
              <w:autoSpaceDN/>
              <w:bidi w:val="0"/>
              <w:adjustRightInd/>
              <w:snapToGrid/>
              <w:spacing w:line="240" w:lineRule="exact"/>
              <w:ind w:left="131"/>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7"/>
                <w:szCs w:val="21"/>
              </w:rPr>
              <w:t>1</w:t>
            </w:r>
            <w:r>
              <w:rPr>
                <w:rFonts w:hint="default" w:ascii="Times New Roman" w:hAnsi="Times New Roman" w:eastAsia="仿宋_GB2312" w:cs="Times New Roman"/>
                <w:spacing w:val="-6"/>
                <w:szCs w:val="21"/>
              </w:rPr>
              <w:t>.11 建筑数量及层数</w:t>
            </w:r>
          </w:p>
        </w:tc>
        <w:tc>
          <w:tcPr>
            <w:tcW w:w="1473" w:type="dxa"/>
            <w:gridSpan w:val="2"/>
            <w:vAlign w:val="center"/>
          </w:tcPr>
          <w:p w14:paraId="147FA088">
            <w:pPr>
              <w:keepNext w:val="0"/>
              <w:keepLines w:val="0"/>
              <w:pageBreakBefore w:val="0"/>
              <w:widowControl w:val="0"/>
              <w:kinsoku/>
              <w:wordWrap/>
              <w:overflowPunct/>
              <w:topLinePunct w:val="0"/>
              <w:autoSpaceDE/>
              <w:autoSpaceDN/>
              <w:bidi w:val="0"/>
              <w:adjustRightInd/>
              <w:snapToGrid/>
              <w:spacing w:line="240" w:lineRule="exact"/>
              <w:ind w:left="124"/>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共___</w:t>
            </w:r>
            <w:r>
              <w:rPr>
                <w:rFonts w:hint="default" w:ascii="Times New Roman" w:hAnsi="Times New Roman" w:eastAsia="仿宋_GB2312" w:cs="Times New Roman"/>
                <w:szCs w:val="21"/>
              </w:rPr>
              <w:t>____栋</w:t>
            </w:r>
          </w:p>
        </w:tc>
        <w:tc>
          <w:tcPr>
            <w:tcW w:w="1252" w:type="dxa"/>
            <w:vAlign w:val="center"/>
          </w:tcPr>
          <w:p w14:paraId="17634256">
            <w:pPr>
              <w:keepNext w:val="0"/>
              <w:keepLines w:val="0"/>
              <w:pageBreakBefore w:val="0"/>
              <w:widowControl w:val="0"/>
              <w:kinsoku/>
              <w:wordWrap/>
              <w:overflowPunct/>
              <w:topLinePunct w:val="0"/>
              <w:autoSpaceDE/>
              <w:autoSpaceDN/>
              <w:bidi w:val="0"/>
              <w:adjustRightInd/>
              <w:snapToGrid/>
              <w:spacing w:line="240" w:lineRule="exact"/>
              <w:ind w:left="120" w:right="193"/>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22"/>
                <w:szCs w:val="21"/>
              </w:rPr>
              <w:t>其</w:t>
            </w:r>
            <w:r>
              <w:rPr>
                <w:rFonts w:hint="default" w:ascii="Times New Roman" w:hAnsi="Times New Roman" w:eastAsia="仿宋_GB2312" w:cs="Times New Roman"/>
                <w:spacing w:val="-16"/>
                <w:szCs w:val="21"/>
              </w:rPr>
              <w:t>中： 1-3</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2"/>
                <w:szCs w:val="21"/>
              </w:rPr>
              <w:t>层_____</w:t>
            </w:r>
            <w:r>
              <w:rPr>
                <w:rFonts w:hint="default" w:ascii="Times New Roman" w:hAnsi="Times New Roman" w:eastAsia="仿宋_GB2312" w:cs="Times New Roman"/>
                <w:spacing w:val="-1"/>
                <w:szCs w:val="21"/>
              </w:rPr>
              <w:t>栋</w:t>
            </w:r>
          </w:p>
        </w:tc>
        <w:tc>
          <w:tcPr>
            <w:tcW w:w="1286" w:type="dxa"/>
            <w:vAlign w:val="center"/>
          </w:tcPr>
          <w:p w14:paraId="6760886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2"/>
                <w:szCs w:val="21"/>
              </w:rPr>
              <w:t>4</w:t>
            </w:r>
            <w:r>
              <w:rPr>
                <w:rFonts w:hint="default" w:ascii="Times New Roman" w:hAnsi="Times New Roman" w:eastAsia="仿宋_GB2312" w:cs="Times New Roman"/>
                <w:spacing w:val="-11"/>
                <w:szCs w:val="21"/>
              </w:rPr>
              <w:t>-6 层</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1"/>
                <w:szCs w:val="21"/>
              </w:rPr>
              <w:t>__</w:t>
            </w:r>
            <w:r>
              <w:rPr>
                <w:rFonts w:hint="default" w:ascii="Times New Roman" w:hAnsi="Times New Roman" w:eastAsia="仿宋_GB2312" w:cs="Times New Roman"/>
                <w:szCs w:val="21"/>
              </w:rPr>
              <w:t>_____栋</w:t>
            </w:r>
          </w:p>
        </w:tc>
        <w:tc>
          <w:tcPr>
            <w:tcW w:w="1524" w:type="dxa"/>
            <w:vAlign w:val="center"/>
          </w:tcPr>
          <w:p w14:paraId="70F69E2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2"/>
                <w:position w:val="7"/>
                <w:szCs w:val="21"/>
              </w:rPr>
              <w:t>7</w:t>
            </w:r>
            <w:r>
              <w:rPr>
                <w:rFonts w:hint="default" w:ascii="Times New Roman" w:hAnsi="Times New Roman" w:eastAsia="仿宋_GB2312" w:cs="Times New Roman"/>
                <w:spacing w:val="-9"/>
                <w:position w:val="7"/>
                <w:szCs w:val="21"/>
              </w:rPr>
              <w:t>-9 层</w:t>
            </w:r>
          </w:p>
          <w:p w14:paraId="4D92670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______栋</w:t>
            </w:r>
          </w:p>
        </w:tc>
        <w:tc>
          <w:tcPr>
            <w:tcW w:w="1323" w:type="dxa"/>
            <w:gridSpan w:val="2"/>
            <w:vAlign w:val="center"/>
          </w:tcPr>
          <w:p w14:paraId="222AB3E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4"/>
                <w:szCs w:val="21"/>
              </w:rPr>
              <w:t>1</w:t>
            </w:r>
            <w:r>
              <w:rPr>
                <w:rFonts w:hint="default" w:ascii="Times New Roman" w:hAnsi="Times New Roman" w:eastAsia="仿宋_GB2312" w:cs="Times New Roman"/>
                <w:spacing w:val="-10"/>
                <w:szCs w:val="21"/>
              </w:rPr>
              <w:t>0 层及以上</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3"/>
                <w:szCs w:val="21"/>
              </w:rPr>
              <w:t>_</w:t>
            </w:r>
            <w:r>
              <w:rPr>
                <w:rFonts w:hint="default" w:ascii="Times New Roman" w:hAnsi="Times New Roman" w:eastAsia="仿宋_GB2312" w:cs="Times New Roman"/>
                <w:spacing w:val="2"/>
                <w:szCs w:val="21"/>
              </w:rPr>
              <w:t>______栋</w:t>
            </w:r>
          </w:p>
        </w:tc>
      </w:tr>
      <w:tr w14:paraId="004462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9733" w:type="dxa"/>
            <w:gridSpan w:val="8"/>
            <w:vAlign w:val="center"/>
          </w:tcPr>
          <w:p w14:paraId="31B24541">
            <w:pPr>
              <w:keepNext w:val="0"/>
              <w:keepLines w:val="0"/>
              <w:pageBreakBefore w:val="0"/>
              <w:widowControl w:val="0"/>
              <w:kinsoku/>
              <w:wordWrap/>
              <w:overflowPunct/>
              <w:topLinePunct w:val="0"/>
              <w:autoSpaceDE/>
              <w:autoSpaceDN/>
              <w:bidi w:val="0"/>
              <w:adjustRightInd/>
              <w:snapToGrid/>
              <w:spacing w:line="240" w:lineRule="exact"/>
              <w:ind w:left="134"/>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2"/>
                <w:sz w:val="24"/>
                <w:szCs w:val="24"/>
              </w:rPr>
              <w:t>第二部分：现状情况</w:t>
            </w:r>
          </w:p>
        </w:tc>
      </w:tr>
      <w:tr w14:paraId="37A7C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2875" w:type="dxa"/>
            <w:vMerge w:val="restart"/>
            <w:tcBorders>
              <w:bottom w:val="nil"/>
            </w:tcBorders>
            <w:vAlign w:val="center"/>
          </w:tcPr>
          <w:p w14:paraId="79E33568">
            <w:pPr>
              <w:keepNext w:val="0"/>
              <w:keepLines w:val="0"/>
              <w:pageBreakBefore w:val="0"/>
              <w:widowControl w:val="0"/>
              <w:kinsoku/>
              <w:wordWrap/>
              <w:overflowPunct/>
              <w:topLinePunct w:val="0"/>
              <w:autoSpaceDE/>
              <w:autoSpaceDN/>
              <w:bidi w:val="0"/>
              <w:adjustRightInd/>
              <w:snapToGrid/>
              <w:spacing w:line="240" w:lineRule="exact"/>
              <w:ind w:left="127" w:right="291" w:hanging="9"/>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8"/>
                <w:szCs w:val="21"/>
              </w:rPr>
              <w:t>2</w:t>
            </w:r>
            <w:r>
              <w:rPr>
                <w:rFonts w:hint="default" w:ascii="Times New Roman" w:hAnsi="Times New Roman" w:eastAsia="仿宋_GB2312" w:cs="Times New Roman"/>
                <w:spacing w:val="-4"/>
                <w:szCs w:val="21"/>
              </w:rPr>
              <w:t>.1 存在外墙安全隐患的住</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5"/>
                <w:szCs w:val="21"/>
              </w:rPr>
              <w:t>宅</w:t>
            </w:r>
            <w:r>
              <w:rPr>
                <w:rFonts w:hint="default" w:ascii="Times New Roman" w:hAnsi="Times New Roman" w:eastAsia="仿宋_GB2312" w:cs="Times New Roman"/>
                <w:spacing w:val="-3"/>
                <w:szCs w:val="21"/>
              </w:rPr>
              <w:t>数量</w:t>
            </w:r>
          </w:p>
        </w:tc>
        <w:tc>
          <w:tcPr>
            <w:tcW w:w="5724" w:type="dxa"/>
            <w:gridSpan w:val="6"/>
            <w:vAlign w:val="center"/>
          </w:tcPr>
          <w:p w14:paraId="3C90FEA7">
            <w:pPr>
              <w:keepNext w:val="0"/>
              <w:keepLines w:val="0"/>
              <w:pageBreakBefore w:val="0"/>
              <w:widowControl w:val="0"/>
              <w:kinsoku/>
              <w:wordWrap/>
              <w:overflowPunct/>
              <w:topLinePunct w:val="0"/>
              <w:autoSpaceDE/>
              <w:autoSpaceDN/>
              <w:bidi w:val="0"/>
              <w:adjustRightInd/>
              <w:snapToGrid/>
              <w:spacing w:line="240" w:lineRule="exact"/>
              <w:ind w:left="124"/>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5"/>
                <w:szCs w:val="21"/>
              </w:rPr>
              <w:t>合</w:t>
            </w:r>
            <w:r>
              <w:rPr>
                <w:rFonts w:hint="default" w:ascii="Times New Roman" w:hAnsi="Times New Roman" w:eastAsia="仿宋_GB2312" w:cs="Times New Roman"/>
                <w:spacing w:val="-4"/>
                <w:szCs w:val="21"/>
              </w:rPr>
              <w:t>计</w:t>
            </w:r>
          </w:p>
        </w:tc>
        <w:tc>
          <w:tcPr>
            <w:tcW w:w="1134" w:type="dxa"/>
            <w:vAlign w:val="center"/>
          </w:tcPr>
          <w:p w14:paraId="4174A2F3">
            <w:pPr>
              <w:keepNext w:val="0"/>
              <w:keepLines w:val="0"/>
              <w:pageBreakBefore w:val="0"/>
              <w:widowControl w:val="0"/>
              <w:kinsoku/>
              <w:wordWrap/>
              <w:overflowPunct/>
              <w:topLinePunct w:val="0"/>
              <w:autoSpaceDE/>
              <w:autoSpaceDN/>
              <w:bidi w:val="0"/>
              <w:adjustRightInd/>
              <w:snapToGrid/>
              <w:spacing w:line="240" w:lineRule="exact"/>
              <w:ind w:left="107"/>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70E31A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2875" w:type="dxa"/>
            <w:vMerge w:val="continue"/>
            <w:tcBorders>
              <w:top w:val="nil"/>
              <w:bottom w:val="nil"/>
            </w:tcBorders>
            <w:vAlign w:val="center"/>
          </w:tcPr>
          <w:p w14:paraId="00833BA5">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480" w:type="dxa"/>
            <w:vMerge w:val="restart"/>
            <w:tcBorders>
              <w:bottom w:val="nil"/>
            </w:tcBorders>
            <w:textDirection w:val="tbRlV"/>
            <w:vAlign w:val="center"/>
          </w:tcPr>
          <w:p w14:paraId="2B069BD6">
            <w:pPr>
              <w:keepNext w:val="0"/>
              <w:keepLines w:val="0"/>
              <w:pageBreakBefore w:val="0"/>
              <w:widowControl w:val="0"/>
              <w:kinsoku/>
              <w:wordWrap/>
              <w:overflowPunct/>
              <w:topLinePunct w:val="0"/>
              <w:autoSpaceDE/>
              <w:autoSpaceDN/>
              <w:bidi w:val="0"/>
              <w:adjustRightInd/>
              <w:snapToGrid/>
              <w:spacing w:line="240" w:lineRule="exact"/>
              <w:ind w:left="54"/>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 xml:space="preserve">其 </w:t>
            </w:r>
            <w:r>
              <w:rPr>
                <w:rFonts w:hint="default" w:ascii="Times New Roman" w:hAnsi="Times New Roman" w:eastAsia="仿宋_GB2312" w:cs="Times New Roman"/>
                <w:szCs w:val="21"/>
              </w:rPr>
              <w:t>中</w:t>
            </w:r>
          </w:p>
        </w:tc>
        <w:tc>
          <w:tcPr>
            <w:tcW w:w="5244" w:type="dxa"/>
            <w:gridSpan w:val="5"/>
            <w:vAlign w:val="center"/>
          </w:tcPr>
          <w:p w14:paraId="062A523D">
            <w:pPr>
              <w:keepNext w:val="0"/>
              <w:keepLines w:val="0"/>
              <w:pageBreakBefore w:val="0"/>
              <w:widowControl w:val="0"/>
              <w:kinsoku/>
              <w:wordWrap/>
              <w:overflowPunct/>
              <w:topLinePunct w:val="0"/>
              <w:autoSpaceDE/>
              <w:autoSpaceDN/>
              <w:bidi w:val="0"/>
              <w:adjustRightInd/>
              <w:snapToGrid/>
              <w:spacing w:line="240" w:lineRule="exact"/>
              <w:ind w:left="120" w:right="139" w:hanging="4"/>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2.</w:t>
            </w:r>
            <w:r>
              <w:rPr>
                <w:rFonts w:hint="default" w:ascii="Times New Roman" w:hAnsi="Times New Roman" w:eastAsia="仿宋_GB2312" w:cs="Times New Roman"/>
                <w:spacing w:val="-2"/>
                <w:szCs w:val="21"/>
              </w:rPr>
              <w:t>1.1 根据第一次全国自然灾害综合风险普查房屋建筑</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1"/>
                <w:szCs w:val="21"/>
              </w:rPr>
              <w:t>和市政设施调查数据库</w:t>
            </w:r>
            <w:r>
              <w:rPr>
                <w:rFonts w:hint="default" w:ascii="Times New Roman" w:hAnsi="Times New Roman" w:eastAsia="仿宋_GB2312" w:cs="Times New Roman"/>
                <w:szCs w:val="21"/>
              </w:rPr>
              <w:t xml:space="preserve">中的初步筛查数据，查找存在 </w:t>
            </w:r>
            <w:r>
              <w:rPr>
                <w:rFonts w:hint="default" w:ascii="Times New Roman" w:hAnsi="Times New Roman" w:eastAsia="仿宋_GB2312" w:cs="Times New Roman"/>
                <w:spacing w:val="-1"/>
                <w:szCs w:val="21"/>
              </w:rPr>
              <w:t>结构安全隐患的住房建筑</w:t>
            </w:r>
            <w:r>
              <w:rPr>
                <w:rFonts w:hint="default" w:ascii="Times New Roman" w:hAnsi="Times New Roman" w:eastAsia="仿宋_GB2312" w:cs="Times New Roman"/>
                <w:szCs w:val="21"/>
              </w:rPr>
              <w:t>。</w:t>
            </w:r>
          </w:p>
        </w:tc>
        <w:tc>
          <w:tcPr>
            <w:tcW w:w="1134" w:type="dxa"/>
            <w:vAlign w:val="center"/>
          </w:tcPr>
          <w:p w14:paraId="3EF0DFC4">
            <w:pPr>
              <w:keepNext w:val="0"/>
              <w:keepLines w:val="0"/>
              <w:pageBreakBefore w:val="0"/>
              <w:widowControl w:val="0"/>
              <w:kinsoku/>
              <w:wordWrap/>
              <w:overflowPunct/>
              <w:topLinePunct w:val="0"/>
              <w:autoSpaceDE/>
              <w:autoSpaceDN/>
              <w:bidi w:val="0"/>
              <w:adjustRightInd/>
              <w:snapToGrid/>
              <w:spacing w:line="240" w:lineRule="exact"/>
              <w:ind w:left="107"/>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2232A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2875" w:type="dxa"/>
            <w:vMerge w:val="continue"/>
            <w:tcBorders>
              <w:top w:val="nil"/>
              <w:bottom w:val="nil"/>
            </w:tcBorders>
            <w:vAlign w:val="center"/>
          </w:tcPr>
          <w:p w14:paraId="48415611">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480" w:type="dxa"/>
            <w:vMerge w:val="continue"/>
            <w:tcBorders>
              <w:top w:val="nil"/>
              <w:bottom w:val="nil"/>
            </w:tcBorders>
            <w:textDirection w:val="tbRlV"/>
            <w:vAlign w:val="center"/>
          </w:tcPr>
          <w:p w14:paraId="1D7E5C0E">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5244" w:type="dxa"/>
            <w:gridSpan w:val="5"/>
            <w:vAlign w:val="center"/>
          </w:tcPr>
          <w:p w14:paraId="10600D48">
            <w:pPr>
              <w:keepNext w:val="0"/>
              <w:keepLines w:val="0"/>
              <w:pageBreakBefore w:val="0"/>
              <w:widowControl w:val="0"/>
              <w:kinsoku/>
              <w:wordWrap/>
              <w:overflowPunct/>
              <w:topLinePunct w:val="0"/>
              <w:autoSpaceDE/>
              <w:autoSpaceDN/>
              <w:bidi w:val="0"/>
              <w:adjustRightInd/>
              <w:snapToGrid/>
              <w:spacing w:line="240" w:lineRule="exact"/>
              <w:ind w:left="121" w:right="298" w:hanging="5"/>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 xml:space="preserve">2.1.2 </w:t>
            </w:r>
            <w:r>
              <w:rPr>
                <w:rFonts w:hint="default" w:ascii="Times New Roman" w:hAnsi="Times New Roman" w:eastAsia="仿宋_GB2312" w:cs="Times New Roman"/>
                <w:szCs w:val="21"/>
              </w:rPr>
              <w:t xml:space="preserve">砖混结构墙体主体出现砖体缺棱掉角、表面存 </w:t>
            </w:r>
            <w:r>
              <w:rPr>
                <w:rFonts w:hint="default" w:ascii="Times New Roman" w:hAnsi="Times New Roman" w:eastAsia="仿宋_GB2312" w:cs="Times New Roman"/>
                <w:spacing w:val="-1"/>
                <w:szCs w:val="21"/>
              </w:rPr>
              <w:t>在裂缝，砖与砂浆之间存</w:t>
            </w:r>
            <w:r>
              <w:rPr>
                <w:rFonts w:hint="default" w:ascii="Times New Roman" w:hAnsi="Times New Roman" w:eastAsia="仿宋_GB2312" w:cs="Times New Roman"/>
                <w:szCs w:val="21"/>
              </w:rPr>
              <w:t>在较大缝隙</w:t>
            </w:r>
          </w:p>
        </w:tc>
        <w:tc>
          <w:tcPr>
            <w:tcW w:w="1134" w:type="dxa"/>
            <w:vAlign w:val="center"/>
          </w:tcPr>
          <w:p w14:paraId="7893A0EE">
            <w:pPr>
              <w:keepNext w:val="0"/>
              <w:keepLines w:val="0"/>
              <w:pageBreakBefore w:val="0"/>
              <w:widowControl w:val="0"/>
              <w:kinsoku/>
              <w:wordWrap/>
              <w:overflowPunct/>
              <w:topLinePunct w:val="0"/>
              <w:autoSpaceDE/>
              <w:autoSpaceDN/>
              <w:bidi w:val="0"/>
              <w:adjustRightInd/>
              <w:snapToGrid/>
              <w:spacing w:line="240" w:lineRule="exact"/>
              <w:ind w:left="107"/>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790FC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2875" w:type="dxa"/>
            <w:vMerge w:val="continue"/>
            <w:tcBorders>
              <w:top w:val="nil"/>
              <w:bottom w:val="nil"/>
            </w:tcBorders>
            <w:vAlign w:val="center"/>
          </w:tcPr>
          <w:p w14:paraId="105B908F">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480" w:type="dxa"/>
            <w:vMerge w:val="continue"/>
            <w:tcBorders>
              <w:top w:val="nil"/>
              <w:bottom w:val="nil"/>
            </w:tcBorders>
            <w:textDirection w:val="tbRlV"/>
            <w:vAlign w:val="center"/>
          </w:tcPr>
          <w:p w14:paraId="127D014D">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5244" w:type="dxa"/>
            <w:gridSpan w:val="5"/>
            <w:vAlign w:val="center"/>
          </w:tcPr>
          <w:p w14:paraId="3FD12F64">
            <w:pPr>
              <w:keepNext w:val="0"/>
              <w:keepLines w:val="0"/>
              <w:pageBreakBefore w:val="0"/>
              <w:widowControl w:val="0"/>
              <w:kinsoku/>
              <w:wordWrap/>
              <w:overflowPunct/>
              <w:topLinePunct w:val="0"/>
              <w:autoSpaceDE/>
              <w:autoSpaceDN/>
              <w:bidi w:val="0"/>
              <w:adjustRightInd/>
              <w:snapToGrid/>
              <w:spacing w:line="240" w:lineRule="exact"/>
              <w:ind w:left="119" w:right="297" w:hanging="3"/>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 xml:space="preserve">2.1.3 </w:t>
            </w:r>
            <w:r>
              <w:rPr>
                <w:rFonts w:hint="default" w:ascii="Times New Roman" w:hAnsi="Times New Roman" w:eastAsia="仿宋_GB2312" w:cs="Times New Roman"/>
                <w:szCs w:val="21"/>
              </w:rPr>
              <w:t xml:space="preserve">户内违规承重墙体拆墙或开洞，底商或地库违 </w:t>
            </w:r>
            <w:r>
              <w:rPr>
                <w:rFonts w:hint="default" w:ascii="Times New Roman" w:hAnsi="Times New Roman" w:eastAsia="仿宋_GB2312" w:cs="Times New Roman"/>
                <w:spacing w:val="-1"/>
                <w:szCs w:val="21"/>
              </w:rPr>
              <w:t>规拆除柱子，砖混结</w:t>
            </w:r>
            <w:r>
              <w:rPr>
                <w:rFonts w:hint="default" w:ascii="Times New Roman" w:hAnsi="Times New Roman" w:eastAsia="仿宋_GB2312" w:cs="Times New Roman"/>
                <w:szCs w:val="21"/>
              </w:rPr>
              <w:t>构拆除外窗窗下墙垛等</w:t>
            </w:r>
          </w:p>
        </w:tc>
        <w:tc>
          <w:tcPr>
            <w:tcW w:w="1134" w:type="dxa"/>
            <w:vAlign w:val="center"/>
          </w:tcPr>
          <w:p w14:paraId="43E3E804">
            <w:pPr>
              <w:keepNext w:val="0"/>
              <w:keepLines w:val="0"/>
              <w:pageBreakBefore w:val="0"/>
              <w:widowControl w:val="0"/>
              <w:kinsoku/>
              <w:wordWrap/>
              <w:overflowPunct/>
              <w:topLinePunct w:val="0"/>
              <w:autoSpaceDE/>
              <w:autoSpaceDN/>
              <w:bidi w:val="0"/>
              <w:adjustRightInd/>
              <w:snapToGrid/>
              <w:spacing w:line="240" w:lineRule="exact"/>
              <w:ind w:left="107"/>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73EDC2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2875" w:type="dxa"/>
            <w:vMerge w:val="continue"/>
            <w:tcBorders>
              <w:top w:val="nil"/>
            </w:tcBorders>
            <w:vAlign w:val="center"/>
          </w:tcPr>
          <w:p w14:paraId="5B01A187">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480" w:type="dxa"/>
            <w:vMerge w:val="continue"/>
            <w:tcBorders>
              <w:top w:val="nil"/>
            </w:tcBorders>
            <w:textDirection w:val="tbRlV"/>
            <w:vAlign w:val="center"/>
          </w:tcPr>
          <w:p w14:paraId="1928E2FC">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5244" w:type="dxa"/>
            <w:gridSpan w:val="5"/>
            <w:vAlign w:val="center"/>
          </w:tcPr>
          <w:p w14:paraId="27CF4BAD">
            <w:pPr>
              <w:keepNext w:val="0"/>
              <w:keepLines w:val="0"/>
              <w:pageBreakBefore w:val="0"/>
              <w:widowControl w:val="0"/>
              <w:kinsoku/>
              <w:wordWrap/>
              <w:overflowPunct/>
              <w:topLinePunct w:val="0"/>
              <w:autoSpaceDE/>
              <w:autoSpaceDN/>
              <w:bidi w:val="0"/>
              <w:adjustRightInd/>
              <w:snapToGrid/>
              <w:spacing w:line="240" w:lineRule="exact"/>
              <w:ind w:left="116"/>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2.1.4 违</w:t>
            </w:r>
            <w:r>
              <w:rPr>
                <w:rFonts w:hint="default" w:ascii="Times New Roman" w:hAnsi="Times New Roman" w:eastAsia="仿宋_GB2312" w:cs="Times New Roman"/>
                <w:szCs w:val="21"/>
              </w:rPr>
              <w:t>规加建悬挑飘窗</w:t>
            </w:r>
          </w:p>
        </w:tc>
        <w:tc>
          <w:tcPr>
            <w:tcW w:w="1134" w:type="dxa"/>
            <w:vAlign w:val="center"/>
          </w:tcPr>
          <w:p w14:paraId="5920C784">
            <w:pPr>
              <w:keepNext w:val="0"/>
              <w:keepLines w:val="0"/>
              <w:pageBreakBefore w:val="0"/>
              <w:widowControl w:val="0"/>
              <w:kinsoku/>
              <w:wordWrap/>
              <w:overflowPunct/>
              <w:topLinePunct w:val="0"/>
              <w:autoSpaceDE/>
              <w:autoSpaceDN/>
              <w:bidi w:val="0"/>
              <w:adjustRightInd/>
              <w:snapToGrid/>
              <w:spacing w:line="240" w:lineRule="exact"/>
              <w:ind w:left="107"/>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6CC071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2875" w:type="dxa"/>
            <w:vAlign w:val="center"/>
          </w:tcPr>
          <w:p w14:paraId="395CD892">
            <w:pPr>
              <w:keepNext w:val="0"/>
              <w:keepLines w:val="0"/>
              <w:pageBreakBefore w:val="0"/>
              <w:widowControl w:val="0"/>
              <w:kinsoku/>
              <w:wordWrap/>
              <w:overflowPunct/>
              <w:topLinePunct w:val="0"/>
              <w:autoSpaceDE/>
              <w:autoSpaceDN/>
              <w:bidi w:val="0"/>
              <w:adjustRightInd/>
              <w:snapToGrid/>
              <w:spacing w:line="240" w:lineRule="exact"/>
              <w:ind w:left="127" w:right="291" w:hanging="9"/>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8"/>
                <w:szCs w:val="21"/>
              </w:rPr>
              <w:t>2</w:t>
            </w:r>
            <w:r>
              <w:rPr>
                <w:rFonts w:hint="default" w:ascii="Times New Roman" w:hAnsi="Times New Roman" w:eastAsia="仿宋_GB2312" w:cs="Times New Roman"/>
                <w:spacing w:val="-4"/>
                <w:szCs w:val="21"/>
              </w:rPr>
              <w:t>.2 存在燃气安全隐患的住</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5"/>
                <w:szCs w:val="21"/>
              </w:rPr>
              <w:t>宅</w:t>
            </w:r>
            <w:r>
              <w:rPr>
                <w:rFonts w:hint="default" w:ascii="Times New Roman" w:hAnsi="Times New Roman" w:eastAsia="仿宋_GB2312" w:cs="Times New Roman"/>
                <w:spacing w:val="-3"/>
                <w:szCs w:val="21"/>
              </w:rPr>
              <w:t>数量</w:t>
            </w:r>
          </w:p>
        </w:tc>
        <w:tc>
          <w:tcPr>
            <w:tcW w:w="5724" w:type="dxa"/>
            <w:gridSpan w:val="6"/>
            <w:vAlign w:val="center"/>
          </w:tcPr>
          <w:p w14:paraId="6C411DE8">
            <w:pPr>
              <w:keepNext w:val="0"/>
              <w:keepLines w:val="0"/>
              <w:pageBreakBefore w:val="0"/>
              <w:widowControl w:val="0"/>
              <w:kinsoku/>
              <w:wordWrap/>
              <w:overflowPunct/>
              <w:topLinePunct w:val="0"/>
              <w:autoSpaceDE/>
              <w:autoSpaceDN/>
              <w:bidi w:val="0"/>
              <w:adjustRightInd/>
              <w:snapToGrid/>
              <w:spacing w:line="240" w:lineRule="exact"/>
              <w:ind w:left="124" w:right="149" w:hanging="6"/>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户内燃气橡胶软管存</w:t>
            </w:r>
            <w:r>
              <w:rPr>
                <w:rFonts w:hint="default" w:ascii="Times New Roman" w:hAnsi="Times New Roman" w:eastAsia="仿宋_GB2312" w:cs="Times New Roman"/>
                <w:szCs w:val="21"/>
              </w:rPr>
              <w:t xml:space="preserve">在变硬变脆、龟裂、明显缺损、油污严 </w:t>
            </w:r>
            <w:r>
              <w:rPr>
                <w:rFonts w:hint="default" w:ascii="Times New Roman" w:hAnsi="Times New Roman" w:eastAsia="仿宋_GB2312" w:cs="Times New Roman"/>
                <w:spacing w:val="-1"/>
                <w:szCs w:val="21"/>
              </w:rPr>
              <w:t>重等老化破损现象或使用不合格产品</w:t>
            </w:r>
          </w:p>
        </w:tc>
        <w:tc>
          <w:tcPr>
            <w:tcW w:w="1134" w:type="dxa"/>
            <w:vAlign w:val="center"/>
          </w:tcPr>
          <w:p w14:paraId="5FE84216">
            <w:pPr>
              <w:keepNext w:val="0"/>
              <w:keepLines w:val="0"/>
              <w:pageBreakBefore w:val="0"/>
              <w:widowControl w:val="0"/>
              <w:kinsoku/>
              <w:wordWrap/>
              <w:overflowPunct/>
              <w:topLinePunct w:val="0"/>
              <w:autoSpaceDE/>
              <w:autoSpaceDN/>
              <w:bidi w:val="0"/>
              <w:adjustRightInd/>
              <w:snapToGrid/>
              <w:spacing w:line="240" w:lineRule="exact"/>
              <w:ind w:left="107"/>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707B03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jc w:val="center"/>
        </w:trPr>
        <w:tc>
          <w:tcPr>
            <w:tcW w:w="2875" w:type="dxa"/>
            <w:vMerge w:val="restart"/>
            <w:tcBorders>
              <w:bottom w:val="nil"/>
            </w:tcBorders>
            <w:vAlign w:val="center"/>
          </w:tcPr>
          <w:p w14:paraId="71B1479A">
            <w:pPr>
              <w:keepNext w:val="0"/>
              <w:keepLines w:val="0"/>
              <w:pageBreakBefore w:val="0"/>
              <w:widowControl w:val="0"/>
              <w:kinsoku/>
              <w:wordWrap/>
              <w:overflowPunct/>
              <w:topLinePunct w:val="0"/>
              <w:autoSpaceDE/>
              <w:autoSpaceDN/>
              <w:bidi w:val="0"/>
              <w:adjustRightInd/>
              <w:snapToGrid/>
              <w:spacing w:line="240" w:lineRule="exact"/>
              <w:ind w:left="127" w:right="291" w:hanging="9"/>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8"/>
                <w:szCs w:val="21"/>
              </w:rPr>
              <w:t>2</w:t>
            </w:r>
            <w:r>
              <w:rPr>
                <w:rFonts w:hint="default" w:ascii="Times New Roman" w:hAnsi="Times New Roman" w:eastAsia="仿宋_GB2312" w:cs="Times New Roman"/>
                <w:spacing w:val="-5"/>
                <w:szCs w:val="21"/>
              </w:rPr>
              <w:t>.</w:t>
            </w:r>
            <w:r>
              <w:rPr>
                <w:rFonts w:hint="default" w:ascii="Times New Roman" w:hAnsi="Times New Roman" w:eastAsia="仿宋_GB2312" w:cs="Times New Roman"/>
                <w:spacing w:val="-4"/>
                <w:szCs w:val="21"/>
              </w:rPr>
              <w:t>3 存在楼道安全隐患的住</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5"/>
                <w:szCs w:val="21"/>
              </w:rPr>
              <w:t>宅</w:t>
            </w:r>
            <w:r>
              <w:rPr>
                <w:rFonts w:hint="default" w:ascii="Times New Roman" w:hAnsi="Times New Roman" w:eastAsia="仿宋_GB2312" w:cs="Times New Roman"/>
                <w:spacing w:val="-3"/>
                <w:szCs w:val="21"/>
              </w:rPr>
              <w:t>数量</w:t>
            </w:r>
          </w:p>
        </w:tc>
        <w:tc>
          <w:tcPr>
            <w:tcW w:w="5724" w:type="dxa"/>
            <w:gridSpan w:val="6"/>
            <w:vAlign w:val="center"/>
          </w:tcPr>
          <w:p w14:paraId="4983719A">
            <w:pPr>
              <w:keepNext w:val="0"/>
              <w:keepLines w:val="0"/>
              <w:pageBreakBefore w:val="0"/>
              <w:widowControl w:val="0"/>
              <w:kinsoku/>
              <w:wordWrap/>
              <w:overflowPunct/>
              <w:topLinePunct w:val="0"/>
              <w:autoSpaceDE/>
              <w:autoSpaceDN/>
              <w:bidi w:val="0"/>
              <w:adjustRightInd/>
              <w:snapToGrid/>
              <w:spacing w:line="240" w:lineRule="exact"/>
              <w:ind w:left="124"/>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5"/>
                <w:szCs w:val="21"/>
              </w:rPr>
              <w:t>合</w:t>
            </w:r>
            <w:r>
              <w:rPr>
                <w:rFonts w:hint="default" w:ascii="Times New Roman" w:hAnsi="Times New Roman" w:eastAsia="仿宋_GB2312" w:cs="Times New Roman"/>
                <w:spacing w:val="-4"/>
                <w:szCs w:val="21"/>
              </w:rPr>
              <w:t>计</w:t>
            </w:r>
          </w:p>
        </w:tc>
        <w:tc>
          <w:tcPr>
            <w:tcW w:w="1134" w:type="dxa"/>
            <w:vAlign w:val="center"/>
          </w:tcPr>
          <w:p w14:paraId="754CD506">
            <w:pPr>
              <w:keepNext w:val="0"/>
              <w:keepLines w:val="0"/>
              <w:pageBreakBefore w:val="0"/>
              <w:widowControl w:val="0"/>
              <w:kinsoku/>
              <w:wordWrap/>
              <w:overflowPunct/>
              <w:topLinePunct w:val="0"/>
              <w:autoSpaceDE/>
              <w:autoSpaceDN/>
              <w:bidi w:val="0"/>
              <w:adjustRightInd/>
              <w:snapToGrid/>
              <w:spacing w:line="240" w:lineRule="exact"/>
              <w:ind w:left="754"/>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栋</w:t>
            </w:r>
          </w:p>
        </w:tc>
      </w:tr>
      <w:tr w14:paraId="29CD87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jc w:val="center"/>
        </w:trPr>
        <w:tc>
          <w:tcPr>
            <w:tcW w:w="2875" w:type="dxa"/>
            <w:vMerge w:val="continue"/>
            <w:tcBorders>
              <w:top w:val="nil"/>
              <w:bottom w:val="nil"/>
            </w:tcBorders>
            <w:vAlign w:val="center"/>
          </w:tcPr>
          <w:p w14:paraId="678801CC">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480" w:type="dxa"/>
            <w:vMerge w:val="restart"/>
            <w:tcBorders>
              <w:bottom w:val="nil"/>
            </w:tcBorders>
            <w:textDirection w:val="tbRlV"/>
            <w:vAlign w:val="center"/>
          </w:tcPr>
          <w:p w14:paraId="65CDC894">
            <w:pPr>
              <w:keepNext w:val="0"/>
              <w:keepLines w:val="0"/>
              <w:pageBreakBefore w:val="0"/>
              <w:widowControl w:val="0"/>
              <w:kinsoku/>
              <w:wordWrap/>
              <w:overflowPunct/>
              <w:topLinePunct w:val="0"/>
              <w:autoSpaceDE/>
              <w:autoSpaceDN/>
              <w:bidi w:val="0"/>
              <w:adjustRightInd/>
              <w:snapToGrid/>
              <w:spacing w:line="240" w:lineRule="exact"/>
              <w:ind w:left="86"/>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 xml:space="preserve">其 </w:t>
            </w:r>
            <w:r>
              <w:rPr>
                <w:rFonts w:hint="default" w:ascii="Times New Roman" w:hAnsi="Times New Roman" w:eastAsia="仿宋_GB2312" w:cs="Times New Roman"/>
                <w:szCs w:val="21"/>
              </w:rPr>
              <w:t>中</w:t>
            </w:r>
          </w:p>
        </w:tc>
        <w:tc>
          <w:tcPr>
            <w:tcW w:w="5244" w:type="dxa"/>
            <w:gridSpan w:val="5"/>
            <w:vAlign w:val="center"/>
          </w:tcPr>
          <w:p w14:paraId="1E04DDC2">
            <w:pPr>
              <w:keepNext w:val="0"/>
              <w:keepLines w:val="0"/>
              <w:pageBreakBefore w:val="0"/>
              <w:widowControl w:val="0"/>
              <w:kinsoku/>
              <w:wordWrap/>
              <w:overflowPunct/>
              <w:topLinePunct w:val="0"/>
              <w:autoSpaceDE/>
              <w:autoSpaceDN/>
              <w:bidi w:val="0"/>
              <w:adjustRightInd/>
              <w:snapToGrid/>
              <w:spacing w:line="240" w:lineRule="exact"/>
              <w:ind w:left="125" w:right="332" w:hanging="9"/>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2"/>
                <w:szCs w:val="21"/>
              </w:rPr>
              <w:t>2.3.1 楼梯间内楼梯踏步缺</w:t>
            </w:r>
            <w:r>
              <w:rPr>
                <w:rFonts w:hint="default" w:ascii="Times New Roman" w:hAnsi="Times New Roman" w:eastAsia="仿宋_GB2312" w:cs="Times New Roman"/>
                <w:spacing w:val="-1"/>
                <w:szCs w:val="21"/>
              </w:rPr>
              <w:t>损、楼梯扶手松动损坏、</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1"/>
                <w:szCs w:val="21"/>
              </w:rPr>
              <w:t>照明损坏缺失、安全护栏松动损</w:t>
            </w:r>
            <w:r>
              <w:rPr>
                <w:rFonts w:hint="default" w:ascii="Times New Roman" w:hAnsi="Times New Roman" w:eastAsia="仿宋_GB2312" w:cs="Times New Roman"/>
                <w:szCs w:val="21"/>
              </w:rPr>
              <w:t>坏或缺失</w:t>
            </w:r>
          </w:p>
        </w:tc>
        <w:tc>
          <w:tcPr>
            <w:tcW w:w="1134" w:type="dxa"/>
            <w:vAlign w:val="center"/>
          </w:tcPr>
          <w:p w14:paraId="2C03B37B">
            <w:pPr>
              <w:keepNext w:val="0"/>
              <w:keepLines w:val="0"/>
              <w:pageBreakBefore w:val="0"/>
              <w:widowControl w:val="0"/>
              <w:kinsoku/>
              <w:wordWrap/>
              <w:overflowPunct/>
              <w:topLinePunct w:val="0"/>
              <w:autoSpaceDE/>
              <w:autoSpaceDN/>
              <w:bidi w:val="0"/>
              <w:adjustRightInd/>
              <w:snapToGrid/>
              <w:spacing w:line="240" w:lineRule="exact"/>
              <w:ind w:left="107"/>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01362B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2875" w:type="dxa"/>
            <w:vMerge w:val="continue"/>
            <w:tcBorders>
              <w:top w:val="nil"/>
              <w:bottom w:val="nil"/>
            </w:tcBorders>
            <w:vAlign w:val="center"/>
          </w:tcPr>
          <w:p w14:paraId="6A64B2C9">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480" w:type="dxa"/>
            <w:vMerge w:val="continue"/>
            <w:tcBorders>
              <w:top w:val="nil"/>
              <w:bottom w:val="nil"/>
            </w:tcBorders>
            <w:textDirection w:val="tbRlV"/>
            <w:vAlign w:val="center"/>
          </w:tcPr>
          <w:p w14:paraId="2C579FD3">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5244" w:type="dxa"/>
            <w:gridSpan w:val="5"/>
            <w:vAlign w:val="center"/>
          </w:tcPr>
          <w:p w14:paraId="0E0EBAA1">
            <w:pPr>
              <w:keepNext w:val="0"/>
              <w:keepLines w:val="0"/>
              <w:pageBreakBefore w:val="0"/>
              <w:widowControl w:val="0"/>
              <w:kinsoku/>
              <w:wordWrap/>
              <w:overflowPunct/>
              <w:topLinePunct w:val="0"/>
              <w:autoSpaceDE/>
              <w:autoSpaceDN/>
              <w:bidi w:val="0"/>
              <w:adjustRightInd/>
              <w:snapToGrid/>
              <w:spacing w:line="240" w:lineRule="exact"/>
              <w:ind w:left="121" w:right="332" w:hanging="5"/>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0"/>
                <w:szCs w:val="21"/>
              </w:rPr>
              <w:t>2.</w:t>
            </w:r>
            <w:r>
              <w:rPr>
                <w:rFonts w:hint="default" w:ascii="Times New Roman" w:hAnsi="Times New Roman" w:eastAsia="仿宋_GB2312" w:cs="Times New Roman"/>
                <w:spacing w:val="-6"/>
                <w:szCs w:val="21"/>
              </w:rPr>
              <w:t>3</w:t>
            </w:r>
            <w:r>
              <w:rPr>
                <w:rFonts w:hint="default" w:ascii="Times New Roman" w:hAnsi="Times New Roman" w:eastAsia="仿宋_GB2312" w:cs="Times New Roman"/>
                <w:spacing w:val="-5"/>
                <w:szCs w:val="21"/>
              </w:rPr>
              <w:t>.2 通风井道、排风烟道等堵塞， 造成通风不畅、</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4"/>
                <w:szCs w:val="21"/>
              </w:rPr>
              <w:t>异</w:t>
            </w:r>
            <w:r>
              <w:rPr>
                <w:rFonts w:hint="default" w:ascii="Times New Roman" w:hAnsi="Times New Roman" w:eastAsia="仿宋_GB2312" w:cs="Times New Roman"/>
                <w:spacing w:val="-3"/>
                <w:szCs w:val="21"/>
              </w:rPr>
              <w:t>味串味</w:t>
            </w:r>
          </w:p>
        </w:tc>
        <w:tc>
          <w:tcPr>
            <w:tcW w:w="1134" w:type="dxa"/>
            <w:vAlign w:val="center"/>
          </w:tcPr>
          <w:p w14:paraId="684D34A8">
            <w:pPr>
              <w:keepNext w:val="0"/>
              <w:keepLines w:val="0"/>
              <w:pageBreakBefore w:val="0"/>
              <w:widowControl w:val="0"/>
              <w:kinsoku/>
              <w:wordWrap/>
              <w:overflowPunct/>
              <w:topLinePunct w:val="0"/>
              <w:autoSpaceDE/>
              <w:autoSpaceDN/>
              <w:bidi w:val="0"/>
              <w:adjustRightInd/>
              <w:snapToGrid/>
              <w:spacing w:line="240" w:lineRule="exact"/>
              <w:ind w:left="107"/>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43BB38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jc w:val="center"/>
        </w:trPr>
        <w:tc>
          <w:tcPr>
            <w:tcW w:w="2875" w:type="dxa"/>
            <w:vMerge w:val="continue"/>
            <w:tcBorders>
              <w:top w:val="nil"/>
              <w:bottom w:val="nil"/>
            </w:tcBorders>
            <w:vAlign w:val="center"/>
          </w:tcPr>
          <w:p w14:paraId="19552388">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480" w:type="dxa"/>
            <w:vMerge w:val="continue"/>
            <w:tcBorders>
              <w:top w:val="nil"/>
              <w:bottom w:val="nil"/>
            </w:tcBorders>
            <w:textDirection w:val="tbRlV"/>
            <w:vAlign w:val="center"/>
          </w:tcPr>
          <w:p w14:paraId="2D05FE08">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5244" w:type="dxa"/>
            <w:gridSpan w:val="5"/>
            <w:vAlign w:val="center"/>
          </w:tcPr>
          <w:p w14:paraId="29E4F512">
            <w:pPr>
              <w:keepNext w:val="0"/>
              <w:keepLines w:val="0"/>
              <w:pageBreakBefore w:val="0"/>
              <w:widowControl w:val="0"/>
              <w:kinsoku/>
              <w:wordWrap/>
              <w:overflowPunct/>
              <w:topLinePunct w:val="0"/>
              <w:autoSpaceDE/>
              <w:autoSpaceDN/>
              <w:bidi w:val="0"/>
              <w:adjustRightInd/>
              <w:snapToGrid/>
              <w:spacing w:line="240" w:lineRule="exact"/>
              <w:ind w:left="116"/>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2.3.3</w:t>
            </w:r>
            <w:r>
              <w:rPr>
                <w:rFonts w:hint="default" w:ascii="Times New Roman" w:hAnsi="Times New Roman" w:eastAsia="仿宋_GB2312" w:cs="Times New Roman"/>
                <w:szCs w:val="21"/>
              </w:rPr>
              <w:t xml:space="preserve"> 消防门缺失、损坏、无法关闭</w:t>
            </w:r>
          </w:p>
        </w:tc>
        <w:tc>
          <w:tcPr>
            <w:tcW w:w="1134" w:type="dxa"/>
            <w:vAlign w:val="center"/>
          </w:tcPr>
          <w:p w14:paraId="039CFC5F">
            <w:pPr>
              <w:keepNext w:val="0"/>
              <w:keepLines w:val="0"/>
              <w:pageBreakBefore w:val="0"/>
              <w:widowControl w:val="0"/>
              <w:kinsoku/>
              <w:wordWrap/>
              <w:overflowPunct/>
              <w:topLinePunct w:val="0"/>
              <w:autoSpaceDE/>
              <w:autoSpaceDN/>
              <w:bidi w:val="0"/>
              <w:adjustRightInd/>
              <w:snapToGrid/>
              <w:spacing w:line="240" w:lineRule="exact"/>
              <w:ind w:left="754"/>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栋</w:t>
            </w:r>
          </w:p>
        </w:tc>
      </w:tr>
      <w:tr w14:paraId="585B42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2875" w:type="dxa"/>
            <w:vMerge w:val="continue"/>
            <w:tcBorders>
              <w:top w:val="nil"/>
              <w:bottom w:val="nil"/>
            </w:tcBorders>
            <w:vAlign w:val="center"/>
          </w:tcPr>
          <w:p w14:paraId="4AF53E05">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480" w:type="dxa"/>
            <w:vMerge w:val="continue"/>
            <w:tcBorders>
              <w:top w:val="nil"/>
              <w:bottom w:val="nil"/>
            </w:tcBorders>
            <w:textDirection w:val="tbRlV"/>
            <w:vAlign w:val="center"/>
          </w:tcPr>
          <w:p w14:paraId="21DEE35C">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5244" w:type="dxa"/>
            <w:gridSpan w:val="5"/>
            <w:vAlign w:val="center"/>
          </w:tcPr>
          <w:p w14:paraId="1D623058">
            <w:pPr>
              <w:keepNext w:val="0"/>
              <w:keepLines w:val="0"/>
              <w:pageBreakBefore w:val="0"/>
              <w:widowControl w:val="0"/>
              <w:kinsoku/>
              <w:wordWrap/>
              <w:overflowPunct/>
              <w:topLinePunct w:val="0"/>
              <w:autoSpaceDE/>
              <w:autoSpaceDN/>
              <w:bidi w:val="0"/>
              <w:adjustRightInd/>
              <w:snapToGrid/>
              <w:spacing w:line="240" w:lineRule="exact"/>
              <w:ind w:left="116"/>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2.3.4</w:t>
            </w:r>
            <w:r>
              <w:rPr>
                <w:rFonts w:hint="default" w:ascii="Times New Roman" w:hAnsi="Times New Roman" w:eastAsia="仿宋_GB2312" w:cs="Times New Roman"/>
                <w:szCs w:val="21"/>
              </w:rPr>
              <w:t xml:space="preserve"> 消火栓无日常维护、老化损坏</w:t>
            </w:r>
          </w:p>
        </w:tc>
        <w:tc>
          <w:tcPr>
            <w:tcW w:w="1134" w:type="dxa"/>
            <w:vAlign w:val="center"/>
          </w:tcPr>
          <w:p w14:paraId="38D9D5E6">
            <w:pPr>
              <w:keepNext w:val="0"/>
              <w:keepLines w:val="0"/>
              <w:pageBreakBefore w:val="0"/>
              <w:widowControl w:val="0"/>
              <w:kinsoku/>
              <w:wordWrap/>
              <w:overflowPunct/>
              <w:topLinePunct w:val="0"/>
              <w:autoSpaceDE/>
              <w:autoSpaceDN/>
              <w:bidi w:val="0"/>
              <w:adjustRightInd/>
              <w:snapToGrid/>
              <w:spacing w:line="240" w:lineRule="exact"/>
              <w:ind w:left="754"/>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栋</w:t>
            </w:r>
          </w:p>
        </w:tc>
      </w:tr>
      <w:tr w14:paraId="7722B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2875" w:type="dxa"/>
            <w:vMerge w:val="continue"/>
            <w:tcBorders>
              <w:top w:val="nil"/>
              <w:bottom w:val="nil"/>
            </w:tcBorders>
            <w:vAlign w:val="center"/>
          </w:tcPr>
          <w:p w14:paraId="3EC362C5">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480" w:type="dxa"/>
            <w:vMerge w:val="continue"/>
            <w:tcBorders>
              <w:top w:val="nil"/>
              <w:bottom w:val="nil"/>
            </w:tcBorders>
            <w:textDirection w:val="tbRlV"/>
            <w:vAlign w:val="center"/>
          </w:tcPr>
          <w:p w14:paraId="5FB25F0D">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5244" w:type="dxa"/>
            <w:gridSpan w:val="5"/>
            <w:vAlign w:val="center"/>
          </w:tcPr>
          <w:p w14:paraId="1DC97F49">
            <w:pPr>
              <w:keepNext w:val="0"/>
              <w:keepLines w:val="0"/>
              <w:pageBreakBefore w:val="0"/>
              <w:widowControl w:val="0"/>
              <w:kinsoku/>
              <w:wordWrap/>
              <w:overflowPunct/>
              <w:topLinePunct w:val="0"/>
              <w:autoSpaceDE/>
              <w:autoSpaceDN/>
              <w:bidi w:val="0"/>
              <w:adjustRightInd/>
              <w:snapToGrid/>
              <w:spacing w:line="240" w:lineRule="exact"/>
              <w:ind w:left="116"/>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2.3.5</w:t>
            </w:r>
            <w:r>
              <w:rPr>
                <w:rFonts w:hint="default" w:ascii="Times New Roman" w:hAnsi="Times New Roman" w:eastAsia="仿宋_GB2312" w:cs="Times New Roman"/>
                <w:szCs w:val="21"/>
              </w:rPr>
              <w:t xml:space="preserve"> 灭火器缺失、未设置灭火器保护设施</w:t>
            </w:r>
          </w:p>
        </w:tc>
        <w:tc>
          <w:tcPr>
            <w:tcW w:w="1134" w:type="dxa"/>
            <w:vAlign w:val="center"/>
          </w:tcPr>
          <w:p w14:paraId="6667EA8F">
            <w:pPr>
              <w:keepNext w:val="0"/>
              <w:keepLines w:val="0"/>
              <w:pageBreakBefore w:val="0"/>
              <w:widowControl w:val="0"/>
              <w:kinsoku/>
              <w:wordWrap/>
              <w:overflowPunct/>
              <w:topLinePunct w:val="0"/>
              <w:autoSpaceDE/>
              <w:autoSpaceDN/>
              <w:bidi w:val="0"/>
              <w:adjustRightInd/>
              <w:snapToGrid/>
              <w:spacing w:line="240" w:lineRule="exact"/>
              <w:ind w:left="754"/>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栋</w:t>
            </w:r>
          </w:p>
        </w:tc>
      </w:tr>
      <w:tr w14:paraId="1B4D4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2875" w:type="dxa"/>
            <w:vMerge w:val="continue"/>
            <w:tcBorders>
              <w:top w:val="nil"/>
              <w:bottom w:val="nil"/>
            </w:tcBorders>
            <w:vAlign w:val="center"/>
          </w:tcPr>
          <w:p w14:paraId="2A52AB27">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480" w:type="dxa"/>
            <w:vMerge w:val="continue"/>
            <w:tcBorders>
              <w:top w:val="nil"/>
              <w:bottom w:val="nil"/>
            </w:tcBorders>
            <w:textDirection w:val="tbRlV"/>
            <w:vAlign w:val="center"/>
          </w:tcPr>
          <w:p w14:paraId="13D74E3F">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5244" w:type="dxa"/>
            <w:gridSpan w:val="5"/>
            <w:vAlign w:val="center"/>
          </w:tcPr>
          <w:p w14:paraId="5C274357">
            <w:pPr>
              <w:keepNext w:val="0"/>
              <w:keepLines w:val="0"/>
              <w:pageBreakBefore w:val="0"/>
              <w:widowControl w:val="0"/>
              <w:kinsoku/>
              <w:wordWrap/>
              <w:overflowPunct/>
              <w:topLinePunct w:val="0"/>
              <w:autoSpaceDE/>
              <w:autoSpaceDN/>
              <w:bidi w:val="0"/>
              <w:adjustRightInd/>
              <w:snapToGrid/>
              <w:spacing w:line="240" w:lineRule="exact"/>
              <w:ind w:left="116"/>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2.3.6</w:t>
            </w:r>
            <w:r>
              <w:rPr>
                <w:rFonts w:hint="default" w:ascii="Times New Roman" w:hAnsi="Times New Roman" w:eastAsia="仿宋_GB2312" w:cs="Times New Roman"/>
                <w:szCs w:val="21"/>
              </w:rPr>
              <w:t xml:space="preserve"> 消防安全出口指示灯损坏或者缺失</w:t>
            </w:r>
          </w:p>
        </w:tc>
        <w:tc>
          <w:tcPr>
            <w:tcW w:w="1134" w:type="dxa"/>
            <w:vAlign w:val="center"/>
          </w:tcPr>
          <w:p w14:paraId="336003AA">
            <w:pPr>
              <w:keepNext w:val="0"/>
              <w:keepLines w:val="0"/>
              <w:pageBreakBefore w:val="0"/>
              <w:widowControl w:val="0"/>
              <w:kinsoku/>
              <w:wordWrap/>
              <w:overflowPunct/>
              <w:topLinePunct w:val="0"/>
              <w:autoSpaceDE/>
              <w:autoSpaceDN/>
              <w:bidi w:val="0"/>
              <w:adjustRightInd/>
              <w:snapToGrid/>
              <w:spacing w:line="240" w:lineRule="exact"/>
              <w:ind w:left="107"/>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3A26AF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2875" w:type="dxa"/>
            <w:vMerge w:val="continue"/>
            <w:tcBorders>
              <w:top w:val="nil"/>
            </w:tcBorders>
            <w:vAlign w:val="center"/>
          </w:tcPr>
          <w:p w14:paraId="6DB420F5">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480" w:type="dxa"/>
            <w:vMerge w:val="continue"/>
            <w:tcBorders>
              <w:top w:val="nil"/>
            </w:tcBorders>
            <w:textDirection w:val="tbRlV"/>
            <w:vAlign w:val="center"/>
          </w:tcPr>
          <w:p w14:paraId="4080FDC3">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rPr>
            </w:pPr>
          </w:p>
        </w:tc>
        <w:tc>
          <w:tcPr>
            <w:tcW w:w="5244" w:type="dxa"/>
            <w:gridSpan w:val="5"/>
            <w:vAlign w:val="center"/>
          </w:tcPr>
          <w:p w14:paraId="15855FBB">
            <w:pPr>
              <w:keepNext w:val="0"/>
              <w:keepLines w:val="0"/>
              <w:pageBreakBefore w:val="0"/>
              <w:widowControl w:val="0"/>
              <w:kinsoku/>
              <w:wordWrap/>
              <w:overflowPunct/>
              <w:topLinePunct w:val="0"/>
              <w:autoSpaceDE/>
              <w:autoSpaceDN/>
              <w:bidi w:val="0"/>
              <w:adjustRightInd/>
              <w:snapToGrid/>
              <w:spacing w:line="240" w:lineRule="exact"/>
              <w:ind w:left="139" w:right="506" w:hanging="23"/>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2.3.7</w:t>
            </w:r>
            <w:r>
              <w:rPr>
                <w:rFonts w:hint="default" w:ascii="Times New Roman" w:hAnsi="Times New Roman" w:eastAsia="仿宋_GB2312" w:cs="Times New Roman"/>
                <w:szCs w:val="21"/>
              </w:rPr>
              <w:t xml:space="preserve"> 违规占用消防楼梯、楼道、管道井等公共空 </w:t>
            </w:r>
            <w:r>
              <w:rPr>
                <w:rFonts w:hint="default" w:ascii="Times New Roman" w:hAnsi="Times New Roman" w:eastAsia="仿宋_GB2312" w:cs="Times New Roman"/>
                <w:spacing w:val="-6"/>
                <w:szCs w:val="21"/>
              </w:rPr>
              <w:t>间，</w:t>
            </w:r>
            <w:r>
              <w:rPr>
                <w:rFonts w:hint="default" w:ascii="Times New Roman" w:hAnsi="Times New Roman" w:eastAsia="仿宋_GB2312" w:cs="Times New Roman"/>
                <w:spacing w:val="-4"/>
                <w:szCs w:val="21"/>
              </w:rPr>
              <w:t>用</w:t>
            </w:r>
            <w:r>
              <w:rPr>
                <w:rFonts w:hint="default" w:ascii="Times New Roman" w:hAnsi="Times New Roman" w:eastAsia="仿宋_GB2312" w:cs="Times New Roman"/>
                <w:spacing w:val="-3"/>
                <w:szCs w:val="21"/>
              </w:rPr>
              <w:t>于堆放杂物</w:t>
            </w:r>
          </w:p>
        </w:tc>
        <w:tc>
          <w:tcPr>
            <w:tcW w:w="1134" w:type="dxa"/>
            <w:vAlign w:val="center"/>
          </w:tcPr>
          <w:p w14:paraId="07681B81">
            <w:pPr>
              <w:keepNext w:val="0"/>
              <w:keepLines w:val="0"/>
              <w:pageBreakBefore w:val="0"/>
              <w:widowControl w:val="0"/>
              <w:kinsoku/>
              <w:wordWrap/>
              <w:overflowPunct/>
              <w:topLinePunct w:val="0"/>
              <w:autoSpaceDE/>
              <w:autoSpaceDN/>
              <w:bidi w:val="0"/>
              <w:adjustRightInd/>
              <w:snapToGrid/>
              <w:spacing w:line="240" w:lineRule="exact"/>
              <w:ind w:left="107"/>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4E76D3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2875" w:type="dxa"/>
            <w:vMerge w:val="restart"/>
            <w:vAlign w:val="center"/>
          </w:tcPr>
          <w:p w14:paraId="7C9AAD4B">
            <w:pPr>
              <w:spacing w:before="56" w:line="247" w:lineRule="auto"/>
              <w:ind w:left="127" w:right="291" w:hanging="9"/>
              <w:rPr>
                <w:rFonts w:hint="default" w:ascii="Times New Roman" w:hAnsi="Times New Roman" w:eastAsia="仿宋_GB2312" w:cs="Times New Roman"/>
                <w:szCs w:val="21"/>
              </w:rPr>
            </w:pPr>
            <w:r>
              <w:rPr>
                <w:rFonts w:hint="default" w:ascii="Times New Roman" w:hAnsi="Times New Roman" w:eastAsia="仿宋_GB2312" w:cs="Times New Roman"/>
                <w:spacing w:val="-8"/>
                <w:szCs w:val="21"/>
              </w:rPr>
              <w:t>2</w:t>
            </w:r>
            <w:r>
              <w:rPr>
                <w:rFonts w:hint="default" w:ascii="Times New Roman" w:hAnsi="Times New Roman" w:eastAsia="仿宋_GB2312" w:cs="Times New Roman"/>
                <w:spacing w:val="-4"/>
                <w:szCs w:val="21"/>
              </w:rPr>
              <w:t>.4 存在围护安全隐患的住</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5"/>
                <w:szCs w:val="21"/>
              </w:rPr>
              <w:t>宅</w:t>
            </w:r>
            <w:r>
              <w:rPr>
                <w:rFonts w:hint="default" w:ascii="Times New Roman" w:hAnsi="Times New Roman" w:eastAsia="仿宋_GB2312" w:cs="Times New Roman"/>
                <w:spacing w:val="-3"/>
                <w:szCs w:val="21"/>
              </w:rPr>
              <w:t>数量</w:t>
            </w:r>
          </w:p>
        </w:tc>
        <w:tc>
          <w:tcPr>
            <w:tcW w:w="5724" w:type="dxa"/>
            <w:gridSpan w:val="6"/>
            <w:vAlign w:val="center"/>
          </w:tcPr>
          <w:p w14:paraId="4BA255F1">
            <w:pPr>
              <w:spacing w:before="56" w:line="219" w:lineRule="auto"/>
              <w:ind w:left="124"/>
              <w:rPr>
                <w:rFonts w:hint="default" w:ascii="Times New Roman" w:hAnsi="Times New Roman" w:eastAsia="仿宋_GB2312" w:cs="Times New Roman"/>
                <w:szCs w:val="21"/>
              </w:rPr>
            </w:pPr>
            <w:r>
              <w:rPr>
                <w:rFonts w:hint="default" w:ascii="Times New Roman" w:hAnsi="Times New Roman" w:eastAsia="仿宋_GB2312" w:cs="Times New Roman"/>
                <w:spacing w:val="-5"/>
                <w:szCs w:val="21"/>
              </w:rPr>
              <w:t>合</w:t>
            </w:r>
            <w:r>
              <w:rPr>
                <w:rFonts w:hint="default" w:ascii="Times New Roman" w:hAnsi="Times New Roman" w:eastAsia="仿宋_GB2312" w:cs="Times New Roman"/>
                <w:spacing w:val="-4"/>
                <w:szCs w:val="21"/>
              </w:rPr>
              <w:t>计</w:t>
            </w:r>
          </w:p>
        </w:tc>
        <w:tc>
          <w:tcPr>
            <w:tcW w:w="1134" w:type="dxa"/>
            <w:vAlign w:val="center"/>
          </w:tcPr>
          <w:p w14:paraId="65F4BC36">
            <w:pPr>
              <w:spacing w:before="55" w:line="215" w:lineRule="auto"/>
              <w:ind w:left="107"/>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62C2EC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jc w:val="center"/>
        </w:trPr>
        <w:tc>
          <w:tcPr>
            <w:tcW w:w="2875" w:type="dxa"/>
            <w:vMerge w:val="continue"/>
            <w:vAlign w:val="center"/>
          </w:tcPr>
          <w:p w14:paraId="31525AA0">
            <w:pPr>
              <w:rPr>
                <w:rFonts w:hint="default" w:ascii="Times New Roman" w:hAnsi="Times New Roman" w:eastAsia="仿宋_GB2312" w:cs="Times New Roman"/>
              </w:rPr>
            </w:pPr>
          </w:p>
        </w:tc>
        <w:tc>
          <w:tcPr>
            <w:tcW w:w="480" w:type="dxa"/>
            <w:vAlign w:val="center"/>
          </w:tcPr>
          <w:p w14:paraId="408D30FF">
            <w:pPr>
              <w:rPr>
                <w:rFonts w:hint="default" w:ascii="Times New Roman" w:hAnsi="Times New Roman" w:eastAsia="仿宋_GB2312" w:cs="Times New Roman"/>
              </w:rPr>
            </w:pPr>
          </w:p>
        </w:tc>
        <w:tc>
          <w:tcPr>
            <w:tcW w:w="5244" w:type="dxa"/>
            <w:gridSpan w:val="5"/>
            <w:vAlign w:val="center"/>
          </w:tcPr>
          <w:p w14:paraId="48B9C22A">
            <w:pPr>
              <w:spacing w:before="56" w:line="217" w:lineRule="auto"/>
              <w:ind w:left="116"/>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2.4.1</w:t>
            </w:r>
            <w:r>
              <w:rPr>
                <w:rFonts w:hint="default" w:ascii="Times New Roman" w:hAnsi="Times New Roman" w:eastAsia="仿宋_GB2312" w:cs="Times New Roman"/>
                <w:szCs w:val="21"/>
              </w:rPr>
              <w:t xml:space="preserve"> 外墙装饰材料和保温材料开裂、损坏、脱落</w:t>
            </w:r>
          </w:p>
        </w:tc>
        <w:tc>
          <w:tcPr>
            <w:tcW w:w="1134" w:type="dxa"/>
            <w:vAlign w:val="center"/>
          </w:tcPr>
          <w:p w14:paraId="4814EE5B">
            <w:pPr>
              <w:spacing w:before="56" w:line="215" w:lineRule="auto"/>
              <w:ind w:left="107"/>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1D8FE6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2875" w:type="dxa"/>
            <w:vMerge w:val="continue"/>
            <w:vAlign w:val="center"/>
          </w:tcPr>
          <w:p w14:paraId="4BA5490B">
            <w:pPr>
              <w:rPr>
                <w:rFonts w:hint="default" w:ascii="Times New Roman" w:hAnsi="Times New Roman" w:eastAsia="仿宋_GB2312" w:cs="Times New Roman"/>
              </w:rPr>
            </w:pPr>
          </w:p>
        </w:tc>
        <w:tc>
          <w:tcPr>
            <w:tcW w:w="480" w:type="dxa"/>
            <w:vMerge w:val="restart"/>
            <w:tcBorders>
              <w:bottom w:val="nil"/>
            </w:tcBorders>
            <w:textDirection w:val="tbRlV"/>
            <w:vAlign w:val="center"/>
          </w:tcPr>
          <w:p w14:paraId="7BFC5813">
            <w:pPr>
              <w:spacing w:before="159" w:line="201" w:lineRule="auto"/>
              <w:ind w:left="55"/>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 xml:space="preserve">其 </w:t>
            </w:r>
            <w:r>
              <w:rPr>
                <w:rFonts w:hint="default" w:ascii="Times New Roman" w:hAnsi="Times New Roman" w:eastAsia="仿宋_GB2312" w:cs="Times New Roman"/>
                <w:szCs w:val="21"/>
              </w:rPr>
              <w:t>中</w:t>
            </w:r>
          </w:p>
        </w:tc>
        <w:tc>
          <w:tcPr>
            <w:tcW w:w="5244" w:type="dxa"/>
            <w:gridSpan w:val="5"/>
            <w:vAlign w:val="center"/>
          </w:tcPr>
          <w:p w14:paraId="650F62C4">
            <w:pPr>
              <w:spacing w:before="55" w:line="247" w:lineRule="auto"/>
              <w:ind w:left="119" w:right="298" w:hanging="3"/>
              <w:rPr>
                <w:rFonts w:hint="default" w:ascii="Times New Roman" w:hAnsi="Times New Roman" w:eastAsia="仿宋_GB2312" w:cs="Times New Roman"/>
                <w:szCs w:val="21"/>
              </w:rPr>
            </w:pPr>
            <w:r>
              <w:rPr>
                <w:rFonts w:hint="default" w:ascii="Times New Roman" w:hAnsi="Times New Roman" w:eastAsia="仿宋_GB2312" w:cs="Times New Roman"/>
                <w:spacing w:val="6"/>
                <w:szCs w:val="21"/>
              </w:rPr>
              <w:t xml:space="preserve">2.4.2 </w:t>
            </w:r>
            <w:r>
              <w:rPr>
                <w:rFonts w:hint="default" w:ascii="Times New Roman" w:hAnsi="Times New Roman" w:eastAsia="仿宋_GB2312" w:cs="Times New Roman"/>
                <w:spacing w:val="3"/>
                <w:szCs w:val="21"/>
              </w:rPr>
              <w:t>外墙悬挂设施不规范（如过大、过高） 或损坏</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2"/>
                <w:szCs w:val="21"/>
              </w:rPr>
              <w:t>松脱的情况</w:t>
            </w:r>
          </w:p>
        </w:tc>
        <w:tc>
          <w:tcPr>
            <w:tcW w:w="1134" w:type="dxa"/>
            <w:vAlign w:val="center"/>
          </w:tcPr>
          <w:p w14:paraId="669B4639">
            <w:pPr>
              <w:spacing w:before="55" w:line="215" w:lineRule="auto"/>
              <w:ind w:left="107"/>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06843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2875" w:type="dxa"/>
            <w:vMerge w:val="continue"/>
            <w:vAlign w:val="center"/>
          </w:tcPr>
          <w:p w14:paraId="7F24BE08">
            <w:pPr>
              <w:rPr>
                <w:rFonts w:hint="default" w:ascii="Times New Roman" w:hAnsi="Times New Roman" w:eastAsia="仿宋_GB2312" w:cs="Times New Roman"/>
              </w:rPr>
            </w:pPr>
          </w:p>
        </w:tc>
        <w:tc>
          <w:tcPr>
            <w:tcW w:w="480" w:type="dxa"/>
            <w:vMerge w:val="continue"/>
            <w:tcBorders>
              <w:top w:val="nil"/>
              <w:bottom w:val="nil"/>
            </w:tcBorders>
            <w:textDirection w:val="tbRlV"/>
            <w:vAlign w:val="center"/>
          </w:tcPr>
          <w:p w14:paraId="36FDCF8F">
            <w:pPr>
              <w:rPr>
                <w:rFonts w:hint="default" w:ascii="Times New Roman" w:hAnsi="Times New Roman" w:eastAsia="仿宋_GB2312" w:cs="Times New Roman"/>
              </w:rPr>
            </w:pPr>
          </w:p>
        </w:tc>
        <w:tc>
          <w:tcPr>
            <w:tcW w:w="5244" w:type="dxa"/>
            <w:gridSpan w:val="5"/>
            <w:vAlign w:val="center"/>
          </w:tcPr>
          <w:p w14:paraId="7B28A01C">
            <w:pPr>
              <w:spacing w:before="52" w:line="216" w:lineRule="auto"/>
              <w:ind w:left="116"/>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2.4.3</w:t>
            </w:r>
            <w:r>
              <w:rPr>
                <w:rFonts w:hint="default" w:ascii="Times New Roman" w:hAnsi="Times New Roman" w:eastAsia="仿宋_GB2312" w:cs="Times New Roman"/>
                <w:szCs w:val="21"/>
              </w:rPr>
              <w:t xml:space="preserve"> 门窗玻璃存在破损、脱落等情况</w:t>
            </w:r>
          </w:p>
        </w:tc>
        <w:tc>
          <w:tcPr>
            <w:tcW w:w="1134" w:type="dxa"/>
            <w:vAlign w:val="center"/>
          </w:tcPr>
          <w:p w14:paraId="7D1A0A1C">
            <w:pPr>
              <w:spacing w:before="51" w:line="215" w:lineRule="auto"/>
              <w:ind w:left="107"/>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022253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2875" w:type="dxa"/>
            <w:vMerge w:val="continue"/>
            <w:vAlign w:val="center"/>
          </w:tcPr>
          <w:p w14:paraId="4F1F1C88">
            <w:pPr>
              <w:rPr>
                <w:rFonts w:hint="default" w:ascii="Times New Roman" w:hAnsi="Times New Roman" w:eastAsia="仿宋_GB2312" w:cs="Times New Roman"/>
              </w:rPr>
            </w:pPr>
          </w:p>
        </w:tc>
        <w:tc>
          <w:tcPr>
            <w:tcW w:w="480" w:type="dxa"/>
            <w:vMerge w:val="continue"/>
            <w:tcBorders>
              <w:top w:val="nil"/>
              <w:bottom w:val="nil"/>
            </w:tcBorders>
            <w:textDirection w:val="tbRlV"/>
            <w:vAlign w:val="center"/>
          </w:tcPr>
          <w:p w14:paraId="7055AFAE">
            <w:pPr>
              <w:rPr>
                <w:rFonts w:hint="default" w:ascii="Times New Roman" w:hAnsi="Times New Roman" w:eastAsia="仿宋_GB2312" w:cs="Times New Roman"/>
              </w:rPr>
            </w:pPr>
          </w:p>
        </w:tc>
        <w:tc>
          <w:tcPr>
            <w:tcW w:w="5244" w:type="dxa"/>
            <w:gridSpan w:val="5"/>
            <w:vAlign w:val="center"/>
          </w:tcPr>
          <w:p w14:paraId="3C5CB717">
            <w:pPr>
              <w:spacing w:before="51" w:line="219" w:lineRule="auto"/>
              <w:ind w:left="116"/>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2.4.4 屋面</w:t>
            </w:r>
            <w:r>
              <w:rPr>
                <w:rFonts w:hint="default" w:ascii="Times New Roman" w:hAnsi="Times New Roman" w:eastAsia="仿宋_GB2312" w:cs="Times New Roman"/>
                <w:szCs w:val="21"/>
              </w:rPr>
              <w:t>排水不畅、漏水</w:t>
            </w:r>
          </w:p>
        </w:tc>
        <w:tc>
          <w:tcPr>
            <w:tcW w:w="1134" w:type="dxa"/>
            <w:vAlign w:val="center"/>
          </w:tcPr>
          <w:p w14:paraId="458DB04C">
            <w:pPr>
              <w:spacing w:before="51" w:line="215" w:lineRule="auto"/>
              <w:ind w:left="107"/>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36A2AC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2875" w:type="dxa"/>
            <w:vMerge w:val="continue"/>
            <w:vAlign w:val="center"/>
          </w:tcPr>
          <w:p w14:paraId="44DE51B6">
            <w:pPr>
              <w:rPr>
                <w:rFonts w:hint="default" w:ascii="Times New Roman" w:hAnsi="Times New Roman" w:eastAsia="仿宋_GB2312" w:cs="Times New Roman"/>
              </w:rPr>
            </w:pPr>
          </w:p>
        </w:tc>
        <w:tc>
          <w:tcPr>
            <w:tcW w:w="480" w:type="dxa"/>
            <w:vMerge w:val="continue"/>
            <w:tcBorders>
              <w:top w:val="nil"/>
            </w:tcBorders>
            <w:textDirection w:val="tbRlV"/>
            <w:vAlign w:val="center"/>
          </w:tcPr>
          <w:p w14:paraId="582B13EB">
            <w:pPr>
              <w:rPr>
                <w:rFonts w:hint="default" w:ascii="Times New Roman" w:hAnsi="Times New Roman" w:eastAsia="仿宋_GB2312" w:cs="Times New Roman"/>
              </w:rPr>
            </w:pPr>
          </w:p>
        </w:tc>
        <w:tc>
          <w:tcPr>
            <w:tcW w:w="5244" w:type="dxa"/>
            <w:gridSpan w:val="5"/>
            <w:vAlign w:val="center"/>
          </w:tcPr>
          <w:p w14:paraId="67428CA4">
            <w:pPr>
              <w:spacing w:before="51" w:line="219" w:lineRule="auto"/>
              <w:ind w:left="116"/>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2.4.5</w:t>
            </w:r>
            <w:r>
              <w:rPr>
                <w:rFonts w:hint="default" w:ascii="Times New Roman" w:hAnsi="Times New Roman" w:eastAsia="仿宋_GB2312" w:cs="Times New Roman"/>
                <w:szCs w:val="21"/>
              </w:rPr>
              <w:t xml:space="preserve"> 外墙内侧或地下室渗水漏水</w:t>
            </w:r>
          </w:p>
        </w:tc>
        <w:tc>
          <w:tcPr>
            <w:tcW w:w="1134" w:type="dxa"/>
            <w:vAlign w:val="center"/>
          </w:tcPr>
          <w:p w14:paraId="17D01AE1">
            <w:pPr>
              <w:spacing w:before="50" w:line="215" w:lineRule="auto"/>
              <w:ind w:left="107"/>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08CAC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jc w:val="center"/>
        </w:trPr>
        <w:tc>
          <w:tcPr>
            <w:tcW w:w="2875" w:type="dxa"/>
            <w:vMerge w:val="restart"/>
            <w:tcBorders>
              <w:bottom w:val="nil"/>
            </w:tcBorders>
            <w:vAlign w:val="center"/>
          </w:tcPr>
          <w:p w14:paraId="1F15C9A2">
            <w:pPr>
              <w:spacing w:before="50" w:line="287" w:lineRule="auto"/>
              <w:ind w:left="121" w:right="291" w:hanging="3"/>
              <w:rPr>
                <w:rFonts w:hint="default" w:ascii="Times New Roman" w:hAnsi="Times New Roman" w:eastAsia="仿宋_GB2312" w:cs="Times New Roman"/>
                <w:szCs w:val="21"/>
              </w:rPr>
            </w:pPr>
            <w:r>
              <w:rPr>
                <w:rFonts w:hint="default" w:ascii="Times New Roman" w:hAnsi="Times New Roman" w:eastAsia="仿宋_GB2312" w:cs="Times New Roman"/>
                <w:spacing w:val="-8"/>
                <w:szCs w:val="21"/>
              </w:rPr>
              <w:t>2</w:t>
            </w:r>
            <w:r>
              <w:rPr>
                <w:rFonts w:hint="default" w:ascii="Times New Roman" w:hAnsi="Times New Roman" w:eastAsia="仿宋_GB2312" w:cs="Times New Roman"/>
                <w:spacing w:val="-4"/>
                <w:szCs w:val="21"/>
              </w:rPr>
              <w:t>.5 住宅性能不达标的住宅</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4"/>
                <w:szCs w:val="21"/>
              </w:rPr>
              <w:t>数</w:t>
            </w:r>
            <w:r>
              <w:rPr>
                <w:rFonts w:hint="default" w:ascii="Times New Roman" w:hAnsi="Times New Roman" w:eastAsia="仿宋_GB2312" w:cs="Times New Roman"/>
                <w:spacing w:val="-2"/>
                <w:szCs w:val="21"/>
              </w:rPr>
              <w:t>量</w:t>
            </w:r>
          </w:p>
        </w:tc>
        <w:tc>
          <w:tcPr>
            <w:tcW w:w="5724" w:type="dxa"/>
            <w:gridSpan w:val="6"/>
            <w:vAlign w:val="center"/>
          </w:tcPr>
          <w:p w14:paraId="34F291C1">
            <w:pPr>
              <w:spacing w:before="50" w:line="219" w:lineRule="auto"/>
              <w:ind w:left="124"/>
              <w:rPr>
                <w:rFonts w:hint="default" w:ascii="Times New Roman" w:hAnsi="Times New Roman" w:eastAsia="仿宋_GB2312" w:cs="Times New Roman"/>
                <w:szCs w:val="21"/>
              </w:rPr>
            </w:pPr>
            <w:r>
              <w:rPr>
                <w:rFonts w:hint="default" w:ascii="Times New Roman" w:hAnsi="Times New Roman" w:eastAsia="仿宋_GB2312" w:cs="Times New Roman"/>
                <w:spacing w:val="-5"/>
                <w:szCs w:val="21"/>
              </w:rPr>
              <w:t>合</w:t>
            </w:r>
            <w:r>
              <w:rPr>
                <w:rFonts w:hint="default" w:ascii="Times New Roman" w:hAnsi="Times New Roman" w:eastAsia="仿宋_GB2312" w:cs="Times New Roman"/>
                <w:spacing w:val="-4"/>
                <w:szCs w:val="21"/>
              </w:rPr>
              <w:t>计</w:t>
            </w:r>
          </w:p>
        </w:tc>
        <w:tc>
          <w:tcPr>
            <w:tcW w:w="1134" w:type="dxa"/>
            <w:vAlign w:val="center"/>
          </w:tcPr>
          <w:p w14:paraId="2B9E9829">
            <w:pPr>
              <w:spacing w:before="50" w:line="215" w:lineRule="auto"/>
              <w:ind w:left="107"/>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2E1EFC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jc w:val="center"/>
        </w:trPr>
        <w:tc>
          <w:tcPr>
            <w:tcW w:w="2875" w:type="dxa"/>
            <w:vMerge w:val="continue"/>
            <w:tcBorders>
              <w:top w:val="nil"/>
              <w:bottom w:val="nil"/>
            </w:tcBorders>
            <w:vAlign w:val="center"/>
          </w:tcPr>
          <w:p w14:paraId="20F0F24B">
            <w:pPr>
              <w:rPr>
                <w:rFonts w:hint="default" w:ascii="Times New Roman" w:hAnsi="Times New Roman" w:eastAsia="仿宋_GB2312" w:cs="Times New Roman"/>
              </w:rPr>
            </w:pPr>
          </w:p>
        </w:tc>
        <w:tc>
          <w:tcPr>
            <w:tcW w:w="480" w:type="dxa"/>
            <w:vMerge w:val="restart"/>
            <w:tcBorders>
              <w:bottom w:val="nil"/>
            </w:tcBorders>
            <w:textDirection w:val="tbRlV"/>
            <w:vAlign w:val="center"/>
          </w:tcPr>
          <w:p w14:paraId="22A1EE3C">
            <w:pPr>
              <w:spacing w:before="159" w:line="201" w:lineRule="auto"/>
              <w:ind w:left="51"/>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 xml:space="preserve">其 </w:t>
            </w:r>
            <w:r>
              <w:rPr>
                <w:rFonts w:hint="default" w:ascii="Times New Roman" w:hAnsi="Times New Roman" w:eastAsia="仿宋_GB2312" w:cs="Times New Roman"/>
                <w:szCs w:val="21"/>
              </w:rPr>
              <w:t>中</w:t>
            </w:r>
          </w:p>
        </w:tc>
        <w:tc>
          <w:tcPr>
            <w:tcW w:w="5244" w:type="dxa"/>
            <w:gridSpan w:val="5"/>
            <w:vAlign w:val="center"/>
          </w:tcPr>
          <w:p w14:paraId="7F9AD758">
            <w:pPr>
              <w:spacing w:before="51" w:line="218" w:lineRule="auto"/>
              <w:ind w:left="116"/>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 xml:space="preserve">2.5.1 </w:t>
            </w:r>
            <w:r>
              <w:rPr>
                <w:rFonts w:hint="default" w:ascii="Times New Roman" w:hAnsi="Times New Roman" w:eastAsia="仿宋_GB2312" w:cs="Times New Roman"/>
                <w:spacing w:val="-2"/>
                <w:szCs w:val="21"/>
              </w:rPr>
              <w:t>没有独立厨房、卫生间等基本功能空间</w:t>
            </w:r>
          </w:p>
        </w:tc>
        <w:tc>
          <w:tcPr>
            <w:tcW w:w="1134" w:type="dxa"/>
            <w:vAlign w:val="center"/>
          </w:tcPr>
          <w:p w14:paraId="6DBA9D88">
            <w:pPr>
              <w:spacing w:before="50" w:line="215" w:lineRule="auto"/>
              <w:ind w:left="107"/>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50104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jc w:val="center"/>
        </w:trPr>
        <w:tc>
          <w:tcPr>
            <w:tcW w:w="2875" w:type="dxa"/>
            <w:vMerge w:val="continue"/>
            <w:tcBorders>
              <w:top w:val="nil"/>
            </w:tcBorders>
            <w:vAlign w:val="center"/>
          </w:tcPr>
          <w:p w14:paraId="0496A4A3">
            <w:pPr>
              <w:rPr>
                <w:rFonts w:hint="default" w:ascii="Times New Roman" w:hAnsi="Times New Roman" w:eastAsia="仿宋_GB2312" w:cs="Times New Roman"/>
              </w:rPr>
            </w:pPr>
          </w:p>
        </w:tc>
        <w:tc>
          <w:tcPr>
            <w:tcW w:w="480" w:type="dxa"/>
            <w:vMerge w:val="continue"/>
            <w:tcBorders>
              <w:top w:val="nil"/>
            </w:tcBorders>
            <w:textDirection w:val="tbRlV"/>
            <w:vAlign w:val="center"/>
          </w:tcPr>
          <w:p w14:paraId="0C837581">
            <w:pPr>
              <w:rPr>
                <w:rFonts w:hint="default" w:ascii="Times New Roman" w:hAnsi="Times New Roman" w:eastAsia="仿宋_GB2312" w:cs="Times New Roman"/>
              </w:rPr>
            </w:pPr>
          </w:p>
        </w:tc>
        <w:tc>
          <w:tcPr>
            <w:tcW w:w="5244" w:type="dxa"/>
            <w:gridSpan w:val="5"/>
            <w:vAlign w:val="center"/>
          </w:tcPr>
          <w:p w14:paraId="5ED8A2A2">
            <w:pPr>
              <w:spacing w:before="51" w:line="217" w:lineRule="auto"/>
              <w:ind w:left="116"/>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2.5.2</w:t>
            </w:r>
            <w:r>
              <w:rPr>
                <w:rFonts w:hint="default" w:ascii="Times New Roman" w:hAnsi="Times New Roman" w:eastAsia="仿宋_GB2312" w:cs="Times New Roman"/>
                <w:szCs w:val="21"/>
              </w:rPr>
              <w:t xml:space="preserve"> 采光、通风等性能方面不达标</w:t>
            </w:r>
          </w:p>
        </w:tc>
        <w:tc>
          <w:tcPr>
            <w:tcW w:w="1134" w:type="dxa"/>
            <w:vAlign w:val="center"/>
          </w:tcPr>
          <w:p w14:paraId="4FE7DB9C">
            <w:pPr>
              <w:spacing w:before="51" w:line="215" w:lineRule="auto"/>
              <w:ind w:left="107"/>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196497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jc w:val="center"/>
        </w:trPr>
        <w:tc>
          <w:tcPr>
            <w:tcW w:w="2875" w:type="dxa"/>
            <w:vMerge w:val="restart"/>
            <w:tcBorders>
              <w:bottom w:val="nil"/>
            </w:tcBorders>
            <w:vAlign w:val="center"/>
          </w:tcPr>
          <w:p w14:paraId="5A1C34C0">
            <w:pPr>
              <w:spacing w:before="51" w:line="287" w:lineRule="auto"/>
              <w:ind w:left="127" w:right="291" w:hanging="9"/>
              <w:rPr>
                <w:rFonts w:hint="default" w:ascii="Times New Roman" w:hAnsi="Times New Roman" w:eastAsia="仿宋_GB2312" w:cs="Times New Roman"/>
                <w:szCs w:val="21"/>
              </w:rPr>
            </w:pPr>
            <w:r>
              <w:rPr>
                <w:rFonts w:hint="default" w:ascii="Times New Roman" w:hAnsi="Times New Roman" w:eastAsia="仿宋_GB2312" w:cs="Times New Roman"/>
                <w:spacing w:val="-8"/>
                <w:szCs w:val="21"/>
              </w:rPr>
              <w:t>2</w:t>
            </w:r>
            <w:r>
              <w:rPr>
                <w:rFonts w:hint="default" w:ascii="Times New Roman" w:hAnsi="Times New Roman" w:eastAsia="仿宋_GB2312" w:cs="Times New Roman"/>
                <w:spacing w:val="-4"/>
                <w:szCs w:val="21"/>
              </w:rPr>
              <w:t>.6 存在管线管道破损的住</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5"/>
                <w:szCs w:val="21"/>
              </w:rPr>
              <w:t>宅</w:t>
            </w:r>
            <w:r>
              <w:rPr>
                <w:rFonts w:hint="default" w:ascii="Times New Roman" w:hAnsi="Times New Roman" w:eastAsia="仿宋_GB2312" w:cs="Times New Roman"/>
                <w:spacing w:val="-3"/>
                <w:szCs w:val="21"/>
              </w:rPr>
              <w:t>数量</w:t>
            </w:r>
          </w:p>
        </w:tc>
        <w:tc>
          <w:tcPr>
            <w:tcW w:w="5724" w:type="dxa"/>
            <w:gridSpan w:val="6"/>
            <w:vAlign w:val="center"/>
          </w:tcPr>
          <w:p w14:paraId="4574C524">
            <w:pPr>
              <w:spacing w:before="52" w:line="219" w:lineRule="auto"/>
              <w:ind w:left="124"/>
              <w:rPr>
                <w:rFonts w:hint="default" w:ascii="Times New Roman" w:hAnsi="Times New Roman" w:eastAsia="仿宋_GB2312" w:cs="Times New Roman"/>
                <w:szCs w:val="21"/>
              </w:rPr>
            </w:pPr>
            <w:r>
              <w:rPr>
                <w:rFonts w:hint="default" w:ascii="Times New Roman" w:hAnsi="Times New Roman" w:eastAsia="仿宋_GB2312" w:cs="Times New Roman"/>
                <w:spacing w:val="-5"/>
                <w:szCs w:val="21"/>
              </w:rPr>
              <w:t>合</w:t>
            </w:r>
            <w:r>
              <w:rPr>
                <w:rFonts w:hint="default" w:ascii="Times New Roman" w:hAnsi="Times New Roman" w:eastAsia="仿宋_GB2312" w:cs="Times New Roman"/>
                <w:spacing w:val="-4"/>
                <w:szCs w:val="21"/>
              </w:rPr>
              <w:t>计</w:t>
            </w:r>
          </w:p>
        </w:tc>
        <w:tc>
          <w:tcPr>
            <w:tcW w:w="1134" w:type="dxa"/>
            <w:vAlign w:val="center"/>
          </w:tcPr>
          <w:p w14:paraId="372AB71F">
            <w:pPr>
              <w:spacing w:before="51" w:line="215" w:lineRule="auto"/>
              <w:ind w:left="107"/>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7CC8C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2875" w:type="dxa"/>
            <w:vMerge w:val="continue"/>
            <w:tcBorders>
              <w:top w:val="nil"/>
              <w:bottom w:val="nil"/>
            </w:tcBorders>
            <w:vAlign w:val="center"/>
          </w:tcPr>
          <w:p w14:paraId="5D15B98A">
            <w:pPr>
              <w:rPr>
                <w:rFonts w:hint="default" w:ascii="Times New Roman" w:hAnsi="Times New Roman" w:eastAsia="仿宋_GB2312" w:cs="Times New Roman"/>
              </w:rPr>
            </w:pPr>
          </w:p>
        </w:tc>
        <w:tc>
          <w:tcPr>
            <w:tcW w:w="480" w:type="dxa"/>
            <w:vMerge w:val="restart"/>
            <w:tcBorders>
              <w:bottom w:val="nil"/>
            </w:tcBorders>
            <w:textDirection w:val="tbRlV"/>
            <w:vAlign w:val="center"/>
          </w:tcPr>
          <w:p w14:paraId="24FC56F9">
            <w:pPr>
              <w:spacing w:before="159" w:line="201" w:lineRule="auto"/>
              <w:ind w:left="52"/>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 xml:space="preserve">其 </w:t>
            </w:r>
            <w:r>
              <w:rPr>
                <w:rFonts w:hint="default" w:ascii="Times New Roman" w:hAnsi="Times New Roman" w:eastAsia="仿宋_GB2312" w:cs="Times New Roman"/>
                <w:szCs w:val="21"/>
              </w:rPr>
              <w:t>中</w:t>
            </w:r>
          </w:p>
        </w:tc>
        <w:tc>
          <w:tcPr>
            <w:tcW w:w="5244" w:type="dxa"/>
            <w:gridSpan w:val="5"/>
            <w:vAlign w:val="center"/>
          </w:tcPr>
          <w:p w14:paraId="36485A4C">
            <w:pPr>
              <w:spacing w:before="51" w:line="247" w:lineRule="auto"/>
              <w:ind w:left="121" w:right="332" w:hanging="5"/>
              <w:rPr>
                <w:rFonts w:hint="default" w:ascii="Times New Roman" w:hAnsi="Times New Roman" w:eastAsia="仿宋_GB2312" w:cs="Times New Roman"/>
                <w:szCs w:val="21"/>
              </w:rPr>
            </w:pPr>
            <w:r>
              <w:rPr>
                <w:rFonts w:hint="default" w:ascii="Times New Roman" w:hAnsi="Times New Roman" w:eastAsia="仿宋_GB2312" w:cs="Times New Roman"/>
                <w:spacing w:val="-2"/>
                <w:szCs w:val="21"/>
              </w:rPr>
              <w:t>2.6.1 存在给水管线跑冒滴</w:t>
            </w:r>
            <w:r>
              <w:rPr>
                <w:rFonts w:hint="default" w:ascii="Times New Roman" w:hAnsi="Times New Roman" w:eastAsia="仿宋_GB2312" w:cs="Times New Roman"/>
                <w:spacing w:val="-1"/>
                <w:szCs w:val="21"/>
              </w:rPr>
              <w:t>漏、排水管线老化破损、</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2"/>
                <w:szCs w:val="21"/>
              </w:rPr>
              <w:t>渗漏堵塞的</w:t>
            </w:r>
            <w:r>
              <w:rPr>
                <w:rFonts w:hint="default" w:ascii="Times New Roman" w:hAnsi="Times New Roman" w:eastAsia="仿宋_GB2312" w:cs="Times New Roman"/>
                <w:spacing w:val="-1"/>
                <w:szCs w:val="21"/>
              </w:rPr>
              <w:t>问题</w:t>
            </w:r>
          </w:p>
        </w:tc>
        <w:tc>
          <w:tcPr>
            <w:tcW w:w="1134" w:type="dxa"/>
            <w:vAlign w:val="center"/>
          </w:tcPr>
          <w:p w14:paraId="30D82EF3">
            <w:pPr>
              <w:spacing w:before="52" w:line="215" w:lineRule="auto"/>
              <w:ind w:left="107"/>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7FD3C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jc w:val="center"/>
        </w:trPr>
        <w:tc>
          <w:tcPr>
            <w:tcW w:w="2875" w:type="dxa"/>
            <w:vMerge w:val="continue"/>
            <w:tcBorders>
              <w:top w:val="nil"/>
              <w:bottom w:val="nil"/>
            </w:tcBorders>
            <w:vAlign w:val="center"/>
          </w:tcPr>
          <w:p w14:paraId="40B3CDB4">
            <w:pPr>
              <w:rPr>
                <w:rFonts w:hint="default" w:ascii="Times New Roman" w:hAnsi="Times New Roman" w:eastAsia="仿宋_GB2312" w:cs="Times New Roman"/>
              </w:rPr>
            </w:pPr>
          </w:p>
        </w:tc>
        <w:tc>
          <w:tcPr>
            <w:tcW w:w="480" w:type="dxa"/>
            <w:vMerge w:val="continue"/>
            <w:tcBorders>
              <w:top w:val="nil"/>
              <w:bottom w:val="nil"/>
            </w:tcBorders>
            <w:textDirection w:val="tbRlV"/>
            <w:vAlign w:val="center"/>
          </w:tcPr>
          <w:p w14:paraId="78611432">
            <w:pPr>
              <w:rPr>
                <w:rFonts w:hint="default" w:ascii="Times New Roman" w:hAnsi="Times New Roman" w:eastAsia="仿宋_GB2312" w:cs="Times New Roman"/>
              </w:rPr>
            </w:pPr>
          </w:p>
        </w:tc>
        <w:tc>
          <w:tcPr>
            <w:tcW w:w="5244" w:type="dxa"/>
            <w:gridSpan w:val="5"/>
            <w:vAlign w:val="center"/>
          </w:tcPr>
          <w:p w14:paraId="3705ADD0">
            <w:pPr>
              <w:spacing w:before="53" w:line="216" w:lineRule="auto"/>
              <w:ind w:left="116"/>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2.6.2</w:t>
            </w:r>
            <w:r>
              <w:rPr>
                <w:rFonts w:hint="default" w:ascii="Times New Roman" w:hAnsi="Times New Roman" w:eastAsia="仿宋_GB2312" w:cs="Times New Roman"/>
                <w:szCs w:val="21"/>
              </w:rPr>
              <w:t xml:space="preserve"> 存在采暖季温度不达标问题</w:t>
            </w:r>
          </w:p>
        </w:tc>
        <w:tc>
          <w:tcPr>
            <w:tcW w:w="1134" w:type="dxa"/>
            <w:vAlign w:val="center"/>
          </w:tcPr>
          <w:p w14:paraId="4CF07C34">
            <w:pPr>
              <w:spacing w:before="52" w:line="215" w:lineRule="auto"/>
              <w:ind w:left="107"/>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4C7F6A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2875" w:type="dxa"/>
            <w:vMerge w:val="continue"/>
            <w:tcBorders>
              <w:top w:val="nil"/>
            </w:tcBorders>
            <w:vAlign w:val="center"/>
          </w:tcPr>
          <w:p w14:paraId="66ECA448">
            <w:pPr>
              <w:rPr>
                <w:rFonts w:hint="default" w:ascii="Times New Roman" w:hAnsi="Times New Roman" w:eastAsia="仿宋_GB2312" w:cs="Times New Roman"/>
              </w:rPr>
            </w:pPr>
          </w:p>
        </w:tc>
        <w:tc>
          <w:tcPr>
            <w:tcW w:w="480" w:type="dxa"/>
            <w:vMerge w:val="continue"/>
            <w:tcBorders>
              <w:top w:val="nil"/>
            </w:tcBorders>
            <w:textDirection w:val="tbRlV"/>
            <w:vAlign w:val="center"/>
          </w:tcPr>
          <w:p w14:paraId="1A1BC3C6">
            <w:pPr>
              <w:rPr>
                <w:rFonts w:hint="default" w:ascii="Times New Roman" w:hAnsi="Times New Roman" w:eastAsia="仿宋_GB2312" w:cs="Times New Roman"/>
              </w:rPr>
            </w:pPr>
          </w:p>
        </w:tc>
        <w:tc>
          <w:tcPr>
            <w:tcW w:w="5244" w:type="dxa"/>
            <w:gridSpan w:val="5"/>
            <w:vAlign w:val="center"/>
          </w:tcPr>
          <w:p w14:paraId="4146ED1D">
            <w:pPr>
              <w:spacing w:before="53" w:line="247" w:lineRule="auto"/>
              <w:ind w:left="132" w:right="298" w:hanging="16"/>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 xml:space="preserve">2.6.3 </w:t>
            </w:r>
            <w:r>
              <w:rPr>
                <w:rFonts w:hint="default" w:ascii="Times New Roman" w:hAnsi="Times New Roman" w:eastAsia="仿宋_GB2312" w:cs="Times New Roman"/>
                <w:szCs w:val="21"/>
              </w:rPr>
              <w:t xml:space="preserve">存在电力电信管线老化破损及裸露、私搭乱接 </w:t>
            </w:r>
            <w:r>
              <w:rPr>
                <w:rFonts w:hint="default" w:ascii="Times New Roman" w:hAnsi="Times New Roman" w:eastAsia="仿宋_GB2312" w:cs="Times New Roman"/>
                <w:spacing w:val="-6"/>
                <w:szCs w:val="21"/>
              </w:rPr>
              <w:t>的</w:t>
            </w:r>
            <w:r>
              <w:rPr>
                <w:rFonts w:hint="default" w:ascii="Times New Roman" w:hAnsi="Times New Roman" w:eastAsia="仿宋_GB2312" w:cs="Times New Roman"/>
                <w:spacing w:val="-5"/>
                <w:szCs w:val="21"/>
              </w:rPr>
              <w:t>问题</w:t>
            </w:r>
          </w:p>
        </w:tc>
        <w:tc>
          <w:tcPr>
            <w:tcW w:w="1134" w:type="dxa"/>
            <w:vAlign w:val="center"/>
          </w:tcPr>
          <w:p w14:paraId="60BE4BB1">
            <w:pPr>
              <w:spacing w:before="53" w:line="215" w:lineRule="auto"/>
              <w:ind w:left="107"/>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2B77F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jc w:val="center"/>
        </w:trPr>
        <w:tc>
          <w:tcPr>
            <w:tcW w:w="2875" w:type="dxa"/>
            <w:vMerge w:val="restart"/>
            <w:tcBorders>
              <w:bottom w:val="nil"/>
            </w:tcBorders>
            <w:vAlign w:val="center"/>
          </w:tcPr>
          <w:p w14:paraId="784D33DE">
            <w:pPr>
              <w:spacing w:before="53" w:line="287" w:lineRule="auto"/>
              <w:ind w:left="121" w:right="291" w:hanging="3"/>
              <w:rPr>
                <w:rFonts w:hint="default" w:ascii="Times New Roman" w:hAnsi="Times New Roman" w:eastAsia="仿宋_GB2312" w:cs="Times New Roman"/>
                <w:szCs w:val="21"/>
              </w:rPr>
            </w:pPr>
            <w:r>
              <w:rPr>
                <w:rFonts w:hint="default" w:ascii="Times New Roman" w:hAnsi="Times New Roman" w:eastAsia="仿宋_GB2312" w:cs="Times New Roman"/>
                <w:spacing w:val="-8"/>
                <w:szCs w:val="21"/>
              </w:rPr>
              <w:t>2</w:t>
            </w:r>
            <w:r>
              <w:rPr>
                <w:rFonts w:hint="default" w:ascii="Times New Roman" w:hAnsi="Times New Roman" w:eastAsia="仿宋_GB2312" w:cs="Times New Roman"/>
                <w:spacing w:val="-4"/>
                <w:szCs w:val="21"/>
              </w:rPr>
              <w:t>.7 入户水质不达标的住宅</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4"/>
                <w:szCs w:val="21"/>
              </w:rPr>
              <w:t>数</w:t>
            </w:r>
            <w:r>
              <w:rPr>
                <w:rFonts w:hint="default" w:ascii="Times New Roman" w:hAnsi="Times New Roman" w:eastAsia="仿宋_GB2312" w:cs="Times New Roman"/>
                <w:spacing w:val="-2"/>
                <w:szCs w:val="21"/>
              </w:rPr>
              <w:t>量</w:t>
            </w:r>
          </w:p>
        </w:tc>
        <w:tc>
          <w:tcPr>
            <w:tcW w:w="5724" w:type="dxa"/>
            <w:gridSpan w:val="6"/>
            <w:vAlign w:val="center"/>
          </w:tcPr>
          <w:p w14:paraId="4BA0BDB7">
            <w:pPr>
              <w:spacing w:before="53" w:line="219" w:lineRule="auto"/>
              <w:ind w:left="124"/>
              <w:rPr>
                <w:rFonts w:hint="default" w:ascii="Times New Roman" w:hAnsi="Times New Roman" w:eastAsia="仿宋_GB2312" w:cs="Times New Roman"/>
                <w:szCs w:val="21"/>
              </w:rPr>
            </w:pPr>
            <w:r>
              <w:rPr>
                <w:rFonts w:hint="default" w:ascii="Times New Roman" w:hAnsi="Times New Roman" w:eastAsia="仿宋_GB2312" w:cs="Times New Roman"/>
                <w:spacing w:val="-5"/>
                <w:szCs w:val="21"/>
              </w:rPr>
              <w:t>合</w:t>
            </w:r>
            <w:r>
              <w:rPr>
                <w:rFonts w:hint="default" w:ascii="Times New Roman" w:hAnsi="Times New Roman" w:eastAsia="仿宋_GB2312" w:cs="Times New Roman"/>
                <w:spacing w:val="-4"/>
                <w:szCs w:val="21"/>
              </w:rPr>
              <w:t>计</w:t>
            </w:r>
          </w:p>
        </w:tc>
        <w:tc>
          <w:tcPr>
            <w:tcW w:w="1134" w:type="dxa"/>
            <w:vAlign w:val="center"/>
          </w:tcPr>
          <w:p w14:paraId="0DF68F4D">
            <w:pPr>
              <w:spacing w:before="53" w:line="215" w:lineRule="auto"/>
              <w:ind w:left="107"/>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2AD6BA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jc w:val="center"/>
        </w:trPr>
        <w:tc>
          <w:tcPr>
            <w:tcW w:w="2875" w:type="dxa"/>
            <w:vMerge w:val="continue"/>
            <w:tcBorders>
              <w:top w:val="nil"/>
              <w:bottom w:val="nil"/>
            </w:tcBorders>
            <w:vAlign w:val="center"/>
          </w:tcPr>
          <w:p w14:paraId="0DED638C">
            <w:pPr>
              <w:rPr>
                <w:rFonts w:hint="default" w:ascii="Times New Roman" w:hAnsi="Times New Roman" w:eastAsia="仿宋_GB2312" w:cs="Times New Roman"/>
              </w:rPr>
            </w:pPr>
          </w:p>
        </w:tc>
        <w:tc>
          <w:tcPr>
            <w:tcW w:w="480" w:type="dxa"/>
            <w:vMerge w:val="restart"/>
            <w:tcBorders>
              <w:bottom w:val="nil"/>
            </w:tcBorders>
            <w:textDirection w:val="tbRlV"/>
            <w:vAlign w:val="center"/>
          </w:tcPr>
          <w:p w14:paraId="362CFDEF">
            <w:pPr>
              <w:spacing w:before="159" w:line="201" w:lineRule="auto"/>
              <w:ind w:left="53"/>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 xml:space="preserve">其 </w:t>
            </w:r>
            <w:r>
              <w:rPr>
                <w:rFonts w:hint="default" w:ascii="Times New Roman" w:hAnsi="Times New Roman" w:eastAsia="仿宋_GB2312" w:cs="Times New Roman"/>
                <w:szCs w:val="21"/>
              </w:rPr>
              <w:t>中</w:t>
            </w:r>
          </w:p>
        </w:tc>
        <w:tc>
          <w:tcPr>
            <w:tcW w:w="5244" w:type="dxa"/>
            <w:gridSpan w:val="5"/>
            <w:vAlign w:val="center"/>
          </w:tcPr>
          <w:p w14:paraId="1ADFF3DB">
            <w:pPr>
              <w:spacing w:before="54" w:line="219" w:lineRule="auto"/>
              <w:ind w:left="116"/>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2.7.1</w:t>
            </w:r>
            <w:r>
              <w:rPr>
                <w:rFonts w:hint="default" w:ascii="Times New Roman" w:hAnsi="Times New Roman" w:eastAsia="仿宋_GB2312" w:cs="Times New Roman"/>
                <w:spacing w:val="-2"/>
                <w:szCs w:val="21"/>
              </w:rPr>
              <w:t xml:space="preserve"> 入户水质不满足《生活饮用水卫生标准》</w:t>
            </w:r>
          </w:p>
        </w:tc>
        <w:tc>
          <w:tcPr>
            <w:tcW w:w="1134" w:type="dxa"/>
            <w:vAlign w:val="center"/>
          </w:tcPr>
          <w:p w14:paraId="5A04BF4E">
            <w:pPr>
              <w:spacing w:before="53" w:line="215" w:lineRule="auto"/>
              <w:ind w:left="107"/>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6047B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jc w:val="center"/>
        </w:trPr>
        <w:tc>
          <w:tcPr>
            <w:tcW w:w="2875" w:type="dxa"/>
            <w:vMerge w:val="continue"/>
            <w:tcBorders>
              <w:top w:val="nil"/>
            </w:tcBorders>
            <w:vAlign w:val="center"/>
          </w:tcPr>
          <w:p w14:paraId="74465E28">
            <w:pPr>
              <w:rPr>
                <w:rFonts w:hint="default" w:ascii="Times New Roman" w:hAnsi="Times New Roman" w:eastAsia="仿宋_GB2312" w:cs="Times New Roman"/>
              </w:rPr>
            </w:pPr>
          </w:p>
        </w:tc>
        <w:tc>
          <w:tcPr>
            <w:tcW w:w="480" w:type="dxa"/>
            <w:vMerge w:val="continue"/>
            <w:tcBorders>
              <w:top w:val="nil"/>
            </w:tcBorders>
            <w:textDirection w:val="tbRlV"/>
            <w:vAlign w:val="center"/>
          </w:tcPr>
          <w:p w14:paraId="09F0F4C0">
            <w:pPr>
              <w:rPr>
                <w:rFonts w:hint="default" w:ascii="Times New Roman" w:hAnsi="Times New Roman" w:eastAsia="仿宋_GB2312" w:cs="Times New Roman"/>
              </w:rPr>
            </w:pPr>
          </w:p>
        </w:tc>
        <w:tc>
          <w:tcPr>
            <w:tcW w:w="5244" w:type="dxa"/>
            <w:gridSpan w:val="5"/>
            <w:vAlign w:val="center"/>
          </w:tcPr>
          <w:p w14:paraId="424FD05D">
            <w:pPr>
              <w:spacing w:before="56" w:line="216" w:lineRule="auto"/>
              <w:ind w:left="116"/>
              <w:rPr>
                <w:rFonts w:hint="default" w:ascii="Times New Roman" w:hAnsi="Times New Roman" w:eastAsia="仿宋_GB2312" w:cs="Times New Roman"/>
                <w:szCs w:val="21"/>
              </w:rPr>
            </w:pPr>
            <w:r>
              <w:rPr>
                <w:rFonts w:hint="default" w:ascii="Times New Roman" w:hAnsi="Times New Roman" w:eastAsia="仿宋_GB2312" w:cs="Times New Roman"/>
                <w:spacing w:val="-6"/>
                <w:szCs w:val="21"/>
              </w:rPr>
              <w:t>2</w:t>
            </w:r>
            <w:r>
              <w:rPr>
                <w:rFonts w:hint="default" w:ascii="Times New Roman" w:hAnsi="Times New Roman" w:eastAsia="仿宋_GB2312" w:cs="Times New Roman"/>
                <w:spacing w:val="-4"/>
                <w:szCs w:val="21"/>
              </w:rPr>
              <w:t>.</w:t>
            </w:r>
            <w:r>
              <w:rPr>
                <w:rFonts w:hint="default" w:ascii="Times New Roman" w:hAnsi="Times New Roman" w:eastAsia="仿宋_GB2312" w:cs="Times New Roman"/>
                <w:spacing w:val="-3"/>
                <w:szCs w:val="21"/>
              </w:rPr>
              <w:t>7.2 存在居民用水水压不足问题</w:t>
            </w:r>
          </w:p>
        </w:tc>
        <w:tc>
          <w:tcPr>
            <w:tcW w:w="1134" w:type="dxa"/>
            <w:vAlign w:val="center"/>
          </w:tcPr>
          <w:p w14:paraId="0FE2AD82">
            <w:pPr>
              <w:spacing w:before="56" w:line="215" w:lineRule="auto"/>
              <w:ind w:left="107"/>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63C23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2875" w:type="dxa"/>
            <w:vMerge w:val="restart"/>
            <w:tcBorders>
              <w:bottom w:val="nil"/>
            </w:tcBorders>
            <w:vAlign w:val="center"/>
          </w:tcPr>
          <w:p w14:paraId="7C7EB282">
            <w:pPr>
              <w:spacing w:before="54" w:line="286" w:lineRule="auto"/>
              <w:ind w:left="122" w:right="291" w:hanging="4"/>
              <w:rPr>
                <w:rFonts w:hint="default" w:ascii="Times New Roman" w:hAnsi="Times New Roman" w:eastAsia="仿宋_GB2312" w:cs="Times New Roman"/>
                <w:szCs w:val="21"/>
              </w:rPr>
            </w:pPr>
            <w:r>
              <w:rPr>
                <w:rFonts w:hint="default" w:ascii="Times New Roman" w:hAnsi="Times New Roman" w:eastAsia="仿宋_GB2312" w:cs="Times New Roman"/>
                <w:spacing w:val="-8"/>
                <w:szCs w:val="21"/>
              </w:rPr>
              <w:t>2</w:t>
            </w:r>
            <w:r>
              <w:rPr>
                <w:rFonts w:hint="default" w:ascii="Times New Roman" w:hAnsi="Times New Roman" w:eastAsia="仿宋_GB2312" w:cs="Times New Roman"/>
                <w:spacing w:val="-5"/>
                <w:szCs w:val="21"/>
              </w:rPr>
              <w:t>.</w:t>
            </w:r>
            <w:r>
              <w:rPr>
                <w:rFonts w:hint="default" w:ascii="Times New Roman" w:hAnsi="Times New Roman" w:eastAsia="仿宋_GB2312" w:cs="Times New Roman"/>
                <w:spacing w:val="-4"/>
                <w:szCs w:val="21"/>
              </w:rPr>
              <w:t>8 需要进行适老化改造的</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4"/>
                <w:szCs w:val="21"/>
              </w:rPr>
              <w:t>住</w:t>
            </w:r>
            <w:r>
              <w:rPr>
                <w:rFonts w:hint="default" w:ascii="Times New Roman" w:hAnsi="Times New Roman" w:eastAsia="仿宋_GB2312" w:cs="Times New Roman"/>
                <w:spacing w:val="-3"/>
                <w:szCs w:val="21"/>
              </w:rPr>
              <w:t>宅</w:t>
            </w:r>
            <w:r>
              <w:rPr>
                <w:rFonts w:hint="default" w:ascii="Times New Roman" w:hAnsi="Times New Roman" w:eastAsia="仿宋_GB2312" w:cs="Times New Roman"/>
                <w:spacing w:val="-2"/>
                <w:szCs w:val="21"/>
              </w:rPr>
              <w:t>数量</w:t>
            </w:r>
          </w:p>
        </w:tc>
        <w:tc>
          <w:tcPr>
            <w:tcW w:w="5724" w:type="dxa"/>
            <w:gridSpan w:val="6"/>
            <w:vAlign w:val="center"/>
          </w:tcPr>
          <w:p w14:paraId="4F0C6C3E">
            <w:pPr>
              <w:spacing w:before="54" w:line="219" w:lineRule="auto"/>
              <w:ind w:left="124"/>
              <w:rPr>
                <w:rFonts w:hint="default" w:ascii="Times New Roman" w:hAnsi="Times New Roman" w:eastAsia="仿宋_GB2312" w:cs="Times New Roman"/>
                <w:szCs w:val="21"/>
              </w:rPr>
            </w:pPr>
            <w:r>
              <w:rPr>
                <w:rFonts w:hint="default" w:ascii="Times New Roman" w:hAnsi="Times New Roman" w:eastAsia="仿宋_GB2312" w:cs="Times New Roman"/>
                <w:spacing w:val="-5"/>
                <w:szCs w:val="21"/>
              </w:rPr>
              <w:t>合</w:t>
            </w:r>
            <w:r>
              <w:rPr>
                <w:rFonts w:hint="default" w:ascii="Times New Roman" w:hAnsi="Times New Roman" w:eastAsia="仿宋_GB2312" w:cs="Times New Roman"/>
                <w:spacing w:val="-4"/>
                <w:szCs w:val="21"/>
              </w:rPr>
              <w:t>计</w:t>
            </w:r>
          </w:p>
        </w:tc>
        <w:tc>
          <w:tcPr>
            <w:tcW w:w="1134" w:type="dxa"/>
            <w:vAlign w:val="center"/>
          </w:tcPr>
          <w:p w14:paraId="0BDC0202">
            <w:pPr>
              <w:spacing w:before="54" w:line="215" w:lineRule="auto"/>
              <w:ind w:left="107"/>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037014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2875" w:type="dxa"/>
            <w:vMerge w:val="continue"/>
            <w:tcBorders>
              <w:top w:val="nil"/>
              <w:bottom w:val="nil"/>
            </w:tcBorders>
            <w:vAlign w:val="center"/>
          </w:tcPr>
          <w:p w14:paraId="78F5B7C3">
            <w:pPr>
              <w:rPr>
                <w:rFonts w:hint="default" w:ascii="Times New Roman" w:hAnsi="Times New Roman" w:eastAsia="仿宋_GB2312" w:cs="Times New Roman"/>
              </w:rPr>
            </w:pPr>
          </w:p>
        </w:tc>
        <w:tc>
          <w:tcPr>
            <w:tcW w:w="480" w:type="dxa"/>
            <w:vMerge w:val="restart"/>
            <w:tcBorders>
              <w:bottom w:val="nil"/>
            </w:tcBorders>
            <w:textDirection w:val="tbRlV"/>
            <w:vAlign w:val="center"/>
          </w:tcPr>
          <w:p w14:paraId="620067D3">
            <w:pPr>
              <w:spacing w:before="159" w:line="201" w:lineRule="auto"/>
              <w:ind w:left="56"/>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 xml:space="preserve">其 </w:t>
            </w:r>
            <w:r>
              <w:rPr>
                <w:rFonts w:hint="default" w:ascii="Times New Roman" w:hAnsi="Times New Roman" w:eastAsia="仿宋_GB2312" w:cs="Times New Roman"/>
                <w:szCs w:val="21"/>
              </w:rPr>
              <w:t>中</w:t>
            </w:r>
          </w:p>
        </w:tc>
        <w:tc>
          <w:tcPr>
            <w:tcW w:w="5244" w:type="dxa"/>
            <w:gridSpan w:val="5"/>
            <w:vAlign w:val="center"/>
          </w:tcPr>
          <w:p w14:paraId="00BE4AA9">
            <w:pPr>
              <w:spacing w:before="57" w:line="246" w:lineRule="auto"/>
              <w:ind w:left="120" w:right="139" w:hanging="4"/>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2.</w:t>
            </w:r>
            <w:r>
              <w:rPr>
                <w:rFonts w:hint="default" w:ascii="Times New Roman" w:hAnsi="Times New Roman" w:eastAsia="仿宋_GB2312" w:cs="Times New Roman"/>
                <w:spacing w:val="-2"/>
                <w:szCs w:val="21"/>
              </w:rPr>
              <w:t>8.1 建成时未安装电梯的多层住宅中具备加装电梯条</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2"/>
                <w:szCs w:val="21"/>
              </w:rPr>
              <w:t>件，</w:t>
            </w:r>
            <w:r>
              <w:rPr>
                <w:rFonts w:hint="default" w:ascii="Times New Roman" w:hAnsi="Times New Roman" w:eastAsia="仿宋_GB2312" w:cs="Times New Roman"/>
                <w:spacing w:val="-1"/>
                <w:szCs w:val="21"/>
              </w:rPr>
              <w:t>但尚未加装改造</w:t>
            </w:r>
          </w:p>
        </w:tc>
        <w:tc>
          <w:tcPr>
            <w:tcW w:w="1134" w:type="dxa"/>
            <w:vAlign w:val="center"/>
          </w:tcPr>
          <w:p w14:paraId="085D32BC">
            <w:pPr>
              <w:spacing w:before="56" w:line="215" w:lineRule="auto"/>
              <w:ind w:left="107"/>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6FCE1A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2875" w:type="dxa"/>
            <w:vMerge w:val="continue"/>
            <w:tcBorders>
              <w:top w:val="nil"/>
              <w:bottom w:val="nil"/>
            </w:tcBorders>
            <w:vAlign w:val="center"/>
          </w:tcPr>
          <w:p w14:paraId="58F1EBE3">
            <w:pPr>
              <w:rPr>
                <w:rFonts w:hint="default" w:ascii="Times New Roman" w:hAnsi="Times New Roman" w:eastAsia="仿宋_GB2312" w:cs="Times New Roman"/>
              </w:rPr>
            </w:pPr>
          </w:p>
        </w:tc>
        <w:tc>
          <w:tcPr>
            <w:tcW w:w="480" w:type="dxa"/>
            <w:vMerge w:val="continue"/>
            <w:tcBorders>
              <w:top w:val="nil"/>
              <w:bottom w:val="nil"/>
            </w:tcBorders>
            <w:textDirection w:val="tbRlV"/>
            <w:vAlign w:val="center"/>
          </w:tcPr>
          <w:p w14:paraId="355A6EDD">
            <w:pPr>
              <w:rPr>
                <w:rFonts w:hint="default" w:ascii="Times New Roman" w:hAnsi="Times New Roman" w:eastAsia="仿宋_GB2312" w:cs="Times New Roman"/>
              </w:rPr>
            </w:pPr>
          </w:p>
        </w:tc>
        <w:tc>
          <w:tcPr>
            <w:tcW w:w="5244" w:type="dxa"/>
            <w:gridSpan w:val="5"/>
            <w:vAlign w:val="center"/>
          </w:tcPr>
          <w:p w14:paraId="24A56935">
            <w:pPr>
              <w:spacing w:before="53" w:line="247" w:lineRule="auto"/>
              <w:ind w:left="134" w:right="139" w:hanging="18"/>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2.</w:t>
            </w:r>
            <w:r>
              <w:rPr>
                <w:rFonts w:hint="default" w:ascii="Times New Roman" w:hAnsi="Times New Roman" w:eastAsia="仿宋_GB2312" w:cs="Times New Roman"/>
                <w:spacing w:val="-2"/>
                <w:szCs w:val="21"/>
              </w:rPr>
              <w:t>8.2 住宅单元出入口和通道未进行无障碍改造、地面</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7"/>
                <w:szCs w:val="21"/>
              </w:rPr>
              <w:t>防</w:t>
            </w:r>
            <w:r>
              <w:rPr>
                <w:rFonts w:hint="default" w:ascii="Times New Roman" w:hAnsi="Times New Roman" w:eastAsia="仿宋_GB2312" w:cs="Times New Roman"/>
                <w:spacing w:val="-6"/>
                <w:szCs w:val="21"/>
              </w:rPr>
              <w:t>滑处理</w:t>
            </w:r>
          </w:p>
        </w:tc>
        <w:tc>
          <w:tcPr>
            <w:tcW w:w="1134" w:type="dxa"/>
            <w:vAlign w:val="center"/>
          </w:tcPr>
          <w:p w14:paraId="1DC55570">
            <w:pPr>
              <w:spacing w:before="53" w:line="215" w:lineRule="auto"/>
              <w:ind w:left="107"/>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03DF0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jc w:val="center"/>
        </w:trPr>
        <w:tc>
          <w:tcPr>
            <w:tcW w:w="2875" w:type="dxa"/>
            <w:vMerge w:val="continue"/>
            <w:tcBorders>
              <w:top w:val="nil"/>
              <w:bottom w:val="nil"/>
            </w:tcBorders>
            <w:vAlign w:val="center"/>
          </w:tcPr>
          <w:p w14:paraId="7F8A5DA2">
            <w:pPr>
              <w:rPr>
                <w:rFonts w:hint="default" w:ascii="Times New Roman" w:hAnsi="Times New Roman" w:eastAsia="仿宋_GB2312" w:cs="Times New Roman"/>
              </w:rPr>
            </w:pPr>
          </w:p>
        </w:tc>
        <w:tc>
          <w:tcPr>
            <w:tcW w:w="480" w:type="dxa"/>
            <w:vMerge w:val="continue"/>
            <w:tcBorders>
              <w:top w:val="nil"/>
              <w:bottom w:val="nil"/>
            </w:tcBorders>
            <w:textDirection w:val="tbRlV"/>
            <w:vAlign w:val="center"/>
          </w:tcPr>
          <w:p w14:paraId="757C3BA9">
            <w:pPr>
              <w:rPr>
                <w:rFonts w:hint="default" w:ascii="Times New Roman" w:hAnsi="Times New Roman" w:eastAsia="仿宋_GB2312" w:cs="Times New Roman"/>
              </w:rPr>
            </w:pPr>
          </w:p>
        </w:tc>
        <w:tc>
          <w:tcPr>
            <w:tcW w:w="5244" w:type="dxa"/>
            <w:gridSpan w:val="5"/>
            <w:vAlign w:val="center"/>
          </w:tcPr>
          <w:p w14:paraId="4B6A6034">
            <w:pPr>
              <w:spacing w:before="54" w:line="219" w:lineRule="auto"/>
              <w:ind w:left="116"/>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2.8.3 楼</w:t>
            </w:r>
            <w:r>
              <w:rPr>
                <w:rFonts w:hint="default" w:ascii="Times New Roman" w:hAnsi="Times New Roman" w:eastAsia="仿宋_GB2312" w:cs="Times New Roman"/>
                <w:szCs w:val="21"/>
              </w:rPr>
              <w:t>梯间未沿墙加装扶手</w:t>
            </w:r>
          </w:p>
        </w:tc>
        <w:tc>
          <w:tcPr>
            <w:tcW w:w="1134" w:type="dxa"/>
            <w:vAlign w:val="center"/>
          </w:tcPr>
          <w:p w14:paraId="3A60F23D">
            <w:pPr>
              <w:spacing w:before="54" w:line="215" w:lineRule="auto"/>
              <w:ind w:left="107"/>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59CD16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2875" w:type="dxa"/>
            <w:vMerge w:val="continue"/>
            <w:tcBorders>
              <w:top w:val="nil"/>
            </w:tcBorders>
            <w:vAlign w:val="center"/>
          </w:tcPr>
          <w:p w14:paraId="374DF6F7">
            <w:pPr>
              <w:rPr>
                <w:rFonts w:hint="default" w:ascii="Times New Roman" w:hAnsi="Times New Roman" w:eastAsia="仿宋_GB2312" w:cs="Times New Roman"/>
              </w:rPr>
            </w:pPr>
          </w:p>
        </w:tc>
        <w:tc>
          <w:tcPr>
            <w:tcW w:w="480" w:type="dxa"/>
            <w:vMerge w:val="continue"/>
            <w:tcBorders>
              <w:top w:val="nil"/>
            </w:tcBorders>
            <w:textDirection w:val="tbRlV"/>
            <w:vAlign w:val="center"/>
          </w:tcPr>
          <w:p w14:paraId="32114EE9">
            <w:pPr>
              <w:rPr>
                <w:rFonts w:hint="default" w:ascii="Times New Roman" w:hAnsi="Times New Roman" w:eastAsia="仿宋_GB2312" w:cs="Times New Roman"/>
              </w:rPr>
            </w:pPr>
          </w:p>
        </w:tc>
        <w:tc>
          <w:tcPr>
            <w:tcW w:w="5244" w:type="dxa"/>
            <w:gridSpan w:val="5"/>
            <w:vAlign w:val="center"/>
          </w:tcPr>
          <w:p w14:paraId="68F9C2CD">
            <w:pPr>
              <w:spacing w:before="54" w:line="256" w:lineRule="auto"/>
              <w:ind w:left="121" w:right="298" w:hanging="5"/>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 xml:space="preserve">2.8.4 </w:t>
            </w:r>
            <w:r>
              <w:rPr>
                <w:rFonts w:hint="default" w:ascii="Times New Roman" w:hAnsi="Times New Roman" w:eastAsia="仿宋_GB2312" w:cs="Times New Roman"/>
                <w:szCs w:val="21"/>
              </w:rPr>
              <w:t xml:space="preserve">纳入分散供养特困人员和建档立卡贫困人口范 </w:t>
            </w:r>
            <w:r>
              <w:rPr>
                <w:rFonts w:hint="default" w:ascii="Times New Roman" w:hAnsi="Times New Roman" w:eastAsia="仿宋_GB2312" w:cs="Times New Roman"/>
                <w:spacing w:val="-1"/>
                <w:szCs w:val="21"/>
              </w:rPr>
              <w:t>围的高龄、失能、残疾老年</w:t>
            </w:r>
            <w:r>
              <w:rPr>
                <w:rFonts w:hint="default" w:ascii="Times New Roman" w:hAnsi="Times New Roman" w:eastAsia="仿宋_GB2312" w:cs="Times New Roman"/>
                <w:szCs w:val="21"/>
              </w:rPr>
              <w:t xml:space="preserve">人等特殊困难老年人家庭 </w:t>
            </w:r>
            <w:r>
              <w:rPr>
                <w:rFonts w:hint="default" w:ascii="Times New Roman" w:hAnsi="Times New Roman" w:eastAsia="仿宋_GB2312" w:cs="Times New Roman"/>
                <w:spacing w:val="-2"/>
                <w:szCs w:val="21"/>
              </w:rPr>
              <w:t>未实施适</w:t>
            </w:r>
            <w:r>
              <w:rPr>
                <w:rFonts w:hint="default" w:ascii="Times New Roman" w:hAnsi="Times New Roman" w:eastAsia="仿宋_GB2312" w:cs="Times New Roman"/>
                <w:spacing w:val="-1"/>
                <w:szCs w:val="21"/>
              </w:rPr>
              <w:t>老化改造</w:t>
            </w:r>
          </w:p>
        </w:tc>
        <w:tc>
          <w:tcPr>
            <w:tcW w:w="1134" w:type="dxa"/>
            <w:vAlign w:val="center"/>
          </w:tcPr>
          <w:p w14:paraId="6FCEFC36">
            <w:pPr>
              <w:spacing w:before="54" w:line="215" w:lineRule="auto"/>
              <w:ind w:left="107"/>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59CCA6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2875" w:type="dxa"/>
            <w:vAlign w:val="center"/>
          </w:tcPr>
          <w:p w14:paraId="6C290843">
            <w:pPr>
              <w:spacing w:before="54" w:line="247" w:lineRule="auto"/>
              <w:ind w:left="127" w:right="291" w:hanging="9"/>
              <w:rPr>
                <w:rFonts w:hint="default" w:ascii="Times New Roman" w:hAnsi="Times New Roman" w:eastAsia="仿宋_GB2312" w:cs="Times New Roman"/>
                <w:szCs w:val="21"/>
              </w:rPr>
            </w:pPr>
            <w:r>
              <w:rPr>
                <w:rFonts w:hint="default" w:ascii="Times New Roman" w:hAnsi="Times New Roman" w:eastAsia="仿宋_GB2312" w:cs="Times New Roman"/>
                <w:spacing w:val="-8"/>
                <w:szCs w:val="21"/>
              </w:rPr>
              <w:t>2</w:t>
            </w:r>
            <w:r>
              <w:rPr>
                <w:rFonts w:hint="default" w:ascii="Times New Roman" w:hAnsi="Times New Roman" w:eastAsia="仿宋_GB2312" w:cs="Times New Roman"/>
                <w:spacing w:val="-4"/>
                <w:szCs w:val="21"/>
              </w:rPr>
              <w:t>.9 需要进行节能改造的住</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5"/>
                <w:szCs w:val="21"/>
              </w:rPr>
              <w:t>宅</w:t>
            </w:r>
            <w:r>
              <w:rPr>
                <w:rFonts w:hint="default" w:ascii="Times New Roman" w:hAnsi="Times New Roman" w:eastAsia="仿宋_GB2312" w:cs="Times New Roman"/>
                <w:spacing w:val="-3"/>
                <w:szCs w:val="21"/>
              </w:rPr>
              <w:t>数量</w:t>
            </w:r>
          </w:p>
        </w:tc>
        <w:tc>
          <w:tcPr>
            <w:tcW w:w="5724" w:type="dxa"/>
            <w:gridSpan w:val="6"/>
            <w:vAlign w:val="center"/>
          </w:tcPr>
          <w:p w14:paraId="13CC171B">
            <w:pPr>
              <w:spacing w:before="54" w:line="218" w:lineRule="auto"/>
              <w:ind w:left="120"/>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具备节能改造价值但尚未进</w:t>
            </w:r>
            <w:r>
              <w:rPr>
                <w:rFonts w:hint="default" w:ascii="Times New Roman" w:hAnsi="Times New Roman" w:eastAsia="仿宋_GB2312" w:cs="Times New Roman"/>
                <w:szCs w:val="21"/>
              </w:rPr>
              <w:t>行节能改造</w:t>
            </w:r>
          </w:p>
        </w:tc>
        <w:tc>
          <w:tcPr>
            <w:tcW w:w="1134" w:type="dxa"/>
            <w:vAlign w:val="center"/>
          </w:tcPr>
          <w:p w14:paraId="73DDC1C7">
            <w:pPr>
              <w:spacing w:before="54" w:line="215" w:lineRule="auto"/>
              <w:ind w:left="107"/>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55C91C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2875" w:type="dxa"/>
            <w:vMerge w:val="restart"/>
            <w:tcBorders>
              <w:bottom w:val="nil"/>
            </w:tcBorders>
            <w:vAlign w:val="center"/>
          </w:tcPr>
          <w:p w14:paraId="02D81F7E">
            <w:pPr>
              <w:spacing w:before="55" w:line="286" w:lineRule="auto"/>
              <w:ind w:left="122" w:right="188" w:hanging="4"/>
              <w:rPr>
                <w:rFonts w:hint="default" w:ascii="Times New Roman" w:hAnsi="Times New Roman" w:eastAsia="仿宋_GB2312" w:cs="Times New Roman"/>
                <w:szCs w:val="21"/>
              </w:rPr>
            </w:pPr>
            <w:r>
              <w:rPr>
                <w:rFonts w:hint="default" w:ascii="Times New Roman" w:hAnsi="Times New Roman" w:eastAsia="仿宋_GB2312" w:cs="Times New Roman"/>
                <w:spacing w:val="-6"/>
                <w:szCs w:val="21"/>
              </w:rPr>
              <w:t>2</w:t>
            </w:r>
            <w:r>
              <w:rPr>
                <w:rFonts w:hint="default" w:ascii="Times New Roman" w:hAnsi="Times New Roman" w:eastAsia="仿宋_GB2312" w:cs="Times New Roman"/>
                <w:spacing w:val="-4"/>
                <w:szCs w:val="21"/>
              </w:rPr>
              <w:t>.10 需要进行数字化改造的</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4"/>
                <w:szCs w:val="21"/>
              </w:rPr>
              <w:t>住</w:t>
            </w:r>
            <w:r>
              <w:rPr>
                <w:rFonts w:hint="default" w:ascii="Times New Roman" w:hAnsi="Times New Roman" w:eastAsia="仿宋_GB2312" w:cs="Times New Roman"/>
                <w:spacing w:val="-3"/>
                <w:szCs w:val="21"/>
              </w:rPr>
              <w:t>宅</w:t>
            </w:r>
            <w:r>
              <w:rPr>
                <w:rFonts w:hint="default" w:ascii="Times New Roman" w:hAnsi="Times New Roman" w:eastAsia="仿宋_GB2312" w:cs="Times New Roman"/>
                <w:spacing w:val="-2"/>
                <w:szCs w:val="21"/>
              </w:rPr>
              <w:t>数量</w:t>
            </w:r>
          </w:p>
        </w:tc>
        <w:tc>
          <w:tcPr>
            <w:tcW w:w="5724" w:type="dxa"/>
            <w:gridSpan w:val="6"/>
            <w:vAlign w:val="center"/>
          </w:tcPr>
          <w:p w14:paraId="123EADB6">
            <w:pPr>
              <w:spacing w:before="55" w:line="219" w:lineRule="auto"/>
              <w:ind w:left="124"/>
              <w:rPr>
                <w:rFonts w:hint="default" w:ascii="Times New Roman" w:hAnsi="Times New Roman" w:eastAsia="仿宋_GB2312" w:cs="Times New Roman"/>
                <w:szCs w:val="21"/>
              </w:rPr>
            </w:pPr>
            <w:r>
              <w:rPr>
                <w:rFonts w:hint="default" w:ascii="Times New Roman" w:hAnsi="Times New Roman" w:eastAsia="仿宋_GB2312" w:cs="Times New Roman"/>
                <w:spacing w:val="-5"/>
                <w:szCs w:val="21"/>
              </w:rPr>
              <w:t>合</w:t>
            </w:r>
            <w:r>
              <w:rPr>
                <w:rFonts w:hint="default" w:ascii="Times New Roman" w:hAnsi="Times New Roman" w:eastAsia="仿宋_GB2312" w:cs="Times New Roman"/>
                <w:spacing w:val="-4"/>
                <w:szCs w:val="21"/>
              </w:rPr>
              <w:t>计</w:t>
            </w:r>
          </w:p>
        </w:tc>
        <w:tc>
          <w:tcPr>
            <w:tcW w:w="1134" w:type="dxa"/>
            <w:vAlign w:val="center"/>
          </w:tcPr>
          <w:p w14:paraId="0077F0C0">
            <w:pPr>
              <w:spacing w:before="55" w:line="215" w:lineRule="auto"/>
              <w:ind w:left="107"/>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0DB88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jc w:val="center"/>
        </w:trPr>
        <w:tc>
          <w:tcPr>
            <w:tcW w:w="2875" w:type="dxa"/>
            <w:vMerge w:val="continue"/>
            <w:tcBorders>
              <w:top w:val="nil"/>
              <w:bottom w:val="nil"/>
            </w:tcBorders>
            <w:vAlign w:val="center"/>
          </w:tcPr>
          <w:p w14:paraId="0481C5DB">
            <w:pPr>
              <w:rPr>
                <w:rFonts w:hint="default" w:ascii="Times New Roman" w:hAnsi="Times New Roman" w:eastAsia="仿宋_GB2312" w:cs="Times New Roman"/>
              </w:rPr>
            </w:pPr>
          </w:p>
        </w:tc>
        <w:tc>
          <w:tcPr>
            <w:tcW w:w="480" w:type="dxa"/>
            <w:vMerge w:val="restart"/>
            <w:tcBorders>
              <w:bottom w:val="nil"/>
            </w:tcBorders>
            <w:textDirection w:val="tbRlV"/>
            <w:vAlign w:val="center"/>
          </w:tcPr>
          <w:p w14:paraId="129F5EE0">
            <w:pPr>
              <w:spacing w:before="159" w:line="201" w:lineRule="auto"/>
              <w:ind w:left="54"/>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 xml:space="preserve">其 </w:t>
            </w:r>
            <w:r>
              <w:rPr>
                <w:rFonts w:hint="default" w:ascii="Times New Roman" w:hAnsi="Times New Roman" w:eastAsia="仿宋_GB2312" w:cs="Times New Roman"/>
                <w:szCs w:val="21"/>
              </w:rPr>
              <w:t>中</w:t>
            </w:r>
          </w:p>
        </w:tc>
        <w:tc>
          <w:tcPr>
            <w:tcW w:w="5244" w:type="dxa"/>
            <w:gridSpan w:val="5"/>
            <w:vAlign w:val="center"/>
          </w:tcPr>
          <w:p w14:paraId="45F92AEA">
            <w:pPr>
              <w:spacing w:before="55" w:line="219" w:lineRule="auto"/>
              <w:ind w:left="116"/>
              <w:rPr>
                <w:rFonts w:hint="default" w:ascii="Times New Roman" w:hAnsi="Times New Roman" w:eastAsia="仿宋_GB2312" w:cs="Times New Roman"/>
                <w:szCs w:val="21"/>
              </w:rPr>
            </w:pPr>
            <w:r>
              <w:rPr>
                <w:rFonts w:hint="default" w:ascii="Times New Roman" w:hAnsi="Times New Roman" w:eastAsia="仿宋_GB2312" w:cs="Times New Roman"/>
                <w:spacing w:val="-6"/>
                <w:szCs w:val="21"/>
              </w:rPr>
              <w:t>2.10</w:t>
            </w:r>
            <w:r>
              <w:rPr>
                <w:rFonts w:hint="default" w:ascii="Times New Roman" w:hAnsi="Times New Roman" w:eastAsia="仿宋_GB2312" w:cs="Times New Roman"/>
                <w:spacing w:val="-4"/>
                <w:szCs w:val="21"/>
              </w:rPr>
              <w:t>.</w:t>
            </w:r>
            <w:r>
              <w:rPr>
                <w:rFonts w:hint="default" w:ascii="Times New Roman" w:hAnsi="Times New Roman" w:eastAsia="仿宋_GB2312" w:cs="Times New Roman"/>
                <w:spacing w:val="-3"/>
                <w:szCs w:val="21"/>
              </w:rPr>
              <w:t>1 不具备光纤入户条件</w:t>
            </w:r>
          </w:p>
        </w:tc>
        <w:tc>
          <w:tcPr>
            <w:tcW w:w="1134" w:type="dxa"/>
            <w:vAlign w:val="center"/>
          </w:tcPr>
          <w:p w14:paraId="3220229C">
            <w:pPr>
              <w:spacing w:before="54" w:line="215" w:lineRule="auto"/>
              <w:ind w:left="107"/>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295C36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2875" w:type="dxa"/>
            <w:vMerge w:val="continue"/>
            <w:tcBorders>
              <w:top w:val="nil"/>
              <w:bottom w:val="nil"/>
            </w:tcBorders>
            <w:vAlign w:val="center"/>
          </w:tcPr>
          <w:p w14:paraId="7EF97577">
            <w:pPr>
              <w:rPr>
                <w:rFonts w:hint="default" w:ascii="Times New Roman" w:hAnsi="Times New Roman" w:eastAsia="仿宋_GB2312" w:cs="Times New Roman"/>
              </w:rPr>
            </w:pPr>
          </w:p>
        </w:tc>
        <w:tc>
          <w:tcPr>
            <w:tcW w:w="480" w:type="dxa"/>
            <w:vMerge w:val="continue"/>
            <w:tcBorders>
              <w:top w:val="nil"/>
              <w:bottom w:val="nil"/>
            </w:tcBorders>
            <w:textDirection w:val="tbRlV"/>
            <w:vAlign w:val="center"/>
          </w:tcPr>
          <w:p w14:paraId="6EF0E030">
            <w:pPr>
              <w:rPr>
                <w:rFonts w:hint="default" w:ascii="Times New Roman" w:hAnsi="Times New Roman" w:eastAsia="仿宋_GB2312" w:cs="Times New Roman"/>
              </w:rPr>
            </w:pPr>
          </w:p>
        </w:tc>
        <w:tc>
          <w:tcPr>
            <w:tcW w:w="5244" w:type="dxa"/>
            <w:gridSpan w:val="5"/>
            <w:vAlign w:val="center"/>
          </w:tcPr>
          <w:p w14:paraId="3A2A5109">
            <w:pPr>
              <w:spacing w:before="54" w:line="246" w:lineRule="auto"/>
              <w:ind w:left="127" w:right="194" w:hanging="11"/>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2.10.2 住</w:t>
            </w:r>
            <w:r>
              <w:rPr>
                <w:rFonts w:hint="default" w:ascii="Times New Roman" w:hAnsi="Times New Roman" w:eastAsia="仿宋_GB2312" w:cs="Times New Roman"/>
                <w:szCs w:val="21"/>
              </w:rPr>
              <w:t xml:space="preserve">宅公共空间未安装楼宇入侵报警、视频监控 </w:t>
            </w:r>
            <w:r>
              <w:rPr>
                <w:rFonts w:hint="default" w:ascii="Times New Roman" w:hAnsi="Times New Roman" w:eastAsia="仿宋_GB2312" w:cs="Times New Roman"/>
                <w:spacing w:val="-4"/>
                <w:szCs w:val="21"/>
              </w:rPr>
              <w:t>等安</w:t>
            </w:r>
            <w:r>
              <w:rPr>
                <w:rFonts w:hint="default" w:ascii="Times New Roman" w:hAnsi="Times New Roman" w:eastAsia="仿宋_GB2312" w:cs="Times New Roman"/>
                <w:spacing w:val="-2"/>
                <w:szCs w:val="21"/>
              </w:rPr>
              <w:t>防检测设备</w:t>
            </w:r>
          </w:p>
        </w:tc>
        <w:tc>
          <w:tcPr>
            <w:tcW w:w="1134" w:type="dxa"/>
            <w:vAlign w:val="center"/>
          </w:tcPr>
          <w:p w14:paraId="2149CA2E">
            <w:pPr>
              <w:spacing w:before="54" w:line="215" w:lineRule="auto"/>
              <w:ind w:left="107"/>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106A58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2875" w:type="dxa"/>
            <w:vMerge w:val="continue"/>
            <w:tcBorders>
              <w:top w:val="nil"/>
              <w:bottom w:val="nil"/>
            </w:tcBorders>
            <w:vAlign w:val="center"/>
          </w:tcPr>
          <w:p w14:paraId="7E293BCE">
            <w:pPr>
              <w:rPr>
                <w:rFonts w:hint="default" w:ascii="Times New Roman" w:hAnsi="Times New Roman" w:eastAsia="仿宋_GB2312" w:cs="Times New Roman"/>
              </w:rPr>
            </w:pPr>
          </w:p>
        </w:tc>
        <w:tc>
          <w:tcPr>
            <w:tcW w:w="480" w:type="dxa"/>
            <w:vMerge w:val="continue"/>
            <w:tcBorders>
              <w:top w:val="nil"/>
              <w:bottom w:val="nil"/>
            </w:tcBorders>
            <w:textDirection w:val="tbRlV"/>
            <w:vAlign w:val="center"/>
          </w:tcPr>
          <w:p w14:paraId="38CE866A">
            <w:pPr>
              <w:rPr>
                <w:rFonts w:hint="default" w:ascii="Times New Roman" w:hAnsi="Times New Roman" w:eastAsia="仿宋_GB2312" w:cs="Times New Roman"/>
              </w:rPr>
            </w:pPr>
          </w:p>
        </w:tc>
        <w:tc>
          <w:tcPr>
            <w:tcW w:w="5244" w:type="dxa"/>
            <w:gridSpan w:val="5"/>
            <w:vAlign w:val="center"/>
          </w:tcPr>
          <w:p w14:paraId="693BDDB9">
            <w:pPr>
              <w:spacing w:before="56" w:line="246" w:lineRule="auto"/>
              <w:ind w:left="125" w:right="247" w:hanging="9"/>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2.1</w:t>
            </w:r>
            <w:r>
              <w:rPr>
                <w:rFonts w:hint="default" w:ascii="Times New Roman" w:hAnsi="Times New Roman" w:eastAsia="仿宋_GB2312" w:cs="Times New Roman"/>
                <w:spacing w:val="-3"/>
                <w:szCs w:val="21"/>
              </w:rPr>
              <w:t>0</w:t>
            </w:r>
            <w:r>
              <w:rPr>
                <w:rFonts w:hint="default" w:ascii="Times New Roman" w:hAnsi="Times New Roman" w:eastAsia="仿宋_GB2312" w:cs="Times New Roman"/>
                <w:spacing w:val="-2"/>
                <w:szCs w:val="21"/>
              </w:rPr>
              <w:t>.3 高层住宅的楼梯间、走道、候梯厅、门厅等公</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2"/>
                <w:szCs w:val="21"/>
              </w:rPr>
              <w:t>共部位未安</w:t>
            </w:r>
            <w:r>
              <w:rPr>
                <w:rFonts w:hint="default" w:ascii="Times New Roman" w:hAnsi="Times New Roman" w:eastAsia="仿宋_GB2312" w:cs="Times New Roman"/>
                <w:spacing w:val="-1"/>
                <w:szCs w:val="21"/>
              </w:rPr>
              <w:t>装烟感报警器</w:t>
            </w:r>
          </w:p>
        </w:tc>
        <w:tc>
          <w:tcPr>
            <w:tcW w:w="1134" w:type="dxa"/>
            <w:vAlign w:val="center"/>
          </w:tcPr>
          <w:p w14:paraId="0274DB47">
            <w:pPr>
              <w:spacing w:before="55" w:line="215" w:lineRule="auto"/>
              <w:ind w:left="107"/>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r w14:paraId="09EA38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8" w:hRule="atLeast"/>
          <w:jc w:val="center"/>
        </w:trPr>
        <w:tc>
          <w:tcPr>
            <w:tcW w:w="2875" w:type="dxa"/>
            <w:vMerge w:val="continue"/>
            <w:tcBorders>
              <w:top w:val="nil"/>
            </w:tcBorders>
            <w:vAlign w:val="center"/>
          </w:tcPr>
          <w:p w14:paraId="1D5D4C0A">
            <w:pPr>
              <w:rPr>
                <w:rFonts w:hint="default" w:ascii="Times New Roman" w:hAnsi="Times New Roman" w:eastAsia="仿宋_GB2312" w:cs="Times New Roman"/>
              </w:rPr>
            </w:pPr>
          </w:p>
        </w:tc>
        <w:tc>
          <w:tcPr>
            <w:tcW w:w="480" w:type="dxa"/>
            <w:vMerge w:val="continue"/>
            <w:tcBorders>
              <w:top w:val="nil"/>
            </w:tcBorders>
            <w:textDirection w:val="tbRlV"/>
            <w:vAlign w:val="center"/>
          </w:tcPr>
          <w:p w14:paraId="05674278">
            <w:pPr>
              <w:rPr>
                <w:rFonts w:hint="default" w:ascii="Times New Roman" w:hAnsi="Times New Roman" w:eastAsia="仿宋_GB2312" w:cs="Times New Roman"/>
              </w:rPr>
            </w:pPr>
          </w:p>
        </w:tc>
        <w:tc>
          <w:tcPr>
            <w:tcW w:w="5244" w:type="dxa"/>
            <w:gridSpan w:val="5"/>
            <w:vAlign w:val="center"/>
          </w:tcPr>
          <w:p w14:paraId="25EC220D">
            <w:pPr>
              <w:spacing w:before="58" w:line="256" w:lineRule="auto"/>
              <w:ind w:left="119" w:right="194" w:hanging="3"/>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2.10.4 未</w:t>
            </w:r>
            <w:r>
              <w:rPr>
                <w:rFonts w:hint="default" w:ascii="Times New Roman" w:hAnsi="Times New Roman" w:eastAsia="仿宋_GB2312" w:cs="Times New Roman"/>
                <w:szCs w:val="21"/>
              </w:rPr>
              <w:t xml:space="preserve">安装家庭健康紧急呼叫系统，无法保障有需 </w:t>
            </w:r>
            <w:r>
              <w:rPr>
                <w:rFonts w:hint="default" w:ascii="Times New Roman" w:hAnsi="Times New Roman" w:eastAsia="仿宋_GB2312" w:cs="Times New Roman"/>
                <w:spacing w:val="-1"/>
                <w:szCs w:val="21"/>
              </w:rPr>
              <w:t>要的居家老年人、残</w:t>
            </w:r>
            <w:r>
              <w:rPr>
                <w:rFonts w:hint="default" w:ascii="Times New Roman" w:hAnsi="Times New Roman" w:eastAsia="仿宋_GB2312" w:cs="Times New Roman"/>
                <w:szCs w:val="21"/>
              </w:rPr>
              <w:t xml:space="preserve">疾人安装一键紧急呼叫、安全监 </w:t>
            </w:r>
            <w:r>
              <w:rPr>
                <w:rFonts w:hint="default" w:ascii="Times New Roman" w:hAnsi="Times New Roman" w:eastAsia="仿宋_GB2312" w:cs="Times New Roman"/>
                <w:spacing w:val="-1"/>
                <w:szCs w:val="21"/>
              </w:rPr>
              <w:t>护无感化监测等智能产</w:t>
            </w:r>
            <w:r>
              <w:rPr>
                <w:rFonts w:hint="default" w:ascii="Times New Roman" w:hAnsi="Times New Roman" w:eastAsia="仿宋_GB2312" w:cs="Times New Roman"/>
                <w:szCs w:val="21"/>
              </w:rPr>
              <w:t>品</w:t>
            </w:r>
          </w:p>
        </w:tc>
        <w:tc>
          <w:tcPr>
            <w:tcW w:w="1134" w:type="dxa"/>
            <w:vAlign w:val="center"/>
          </w:tcPr>
          <w:p w14:paraId="4B79231D">
            <w:pPr>
              <w:spacing w:before="59" w:line="215" w:lineRule="auto"/>
              <w:ind w:left="107"/>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_____栋</w:t>
            </w:r>
          </w:p>
        </w:tc>
      </w:tr>
    </w:tbl>
    <w:p w14:paraId="08B08017">
      <w:pPr>
        <w:rPr>
          <w:rFonts w:hint="default" w:ascii="Times New Roman" w:hAnsi="Times New Roman" w:cs="Times New Roman"/>
        </w:rPr>
      </w:pPr>
    </w:p>
    <w:tbl>
      <w:tblPr>
        <w:tblStyle w:val="57"/>
        <w:tblW w:w="91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9"/>
        <w:gridCol w:w="3156"/>
        <w:gridCol w:w="2095"/>
        <w:gridCol w:w="779"/>
        <w:gridCol w:w="1473"/>
      </w:tblGrid>
      <w:tr w14:paraId="26FF2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jc w:val="center"/>
        </w:trPr>
        <w:tc>
          <w:tcPr>
            <w:tcW w:w="9142" w:type="dxa"/>
            <w:gridSpan w:val="5"/>
            <w:tcBorders>
              <w:top w:val="single" w:color="000000" w:sz="2" w:space="0"/>
              <w:bottom w:val="single" w:color="000000" w:sz="2" w:space="0"/>
            </w:tcBorders>
          </w:tcPr>
          <w:p w14:paraId="5AB93F3E">
            <w:pPr>
              <w:spacing w:before="186" w:line="197" w:lineRule="auto"/>
              <w:jc w:val="center"/>
              <w:rPr>
                <w:rFonts w:hint="default" w:ascii="Times New Roman" w:hAnsi="Times New Roman" w:eastAsia="仿宋_GB2312" w:cs="Times New Roman"/>
                <w:b/>
                <w:bCs/>
                <w:sz w:val="31"/>
                <w:szCs w:val="31"/>
              </w:rPr>
            </w:pPr>
            <w:r>
              <w:rPr>
                <w:rFonts w:hint="default" w:ascii="Times New Roman" w:hAnsi="Times New Roman" w:eastAsia="黑体" w:cs="Times New Roman"/>
                <w:b w:val="0"/>
                <w:bCs w:val="0"/>
                <w:spacing w:val="2"/>
                <w:sz w:val="32"/>
                <w:szCs w:val="32"/>
              </w:rPr>
              <w:t>___</w:t>
            </w:r>
            <w:r>
              <w:rPr>
                <w:rFonts w:hint="default" w:ascii="Times New Roman" w:hAnsi="Times New Roman" w:eastAsia="黑体" w:cs="Times New Roman"/>
                <w:b w:val="0"/>
                <w:bCs w:val="0"/>
                <w:spacing w:val="1"/>
                <w:sz w:val="32"/>
                <w:szCs w:val="32"/>
              </w:rPr>
              <w:t>__</w:t>
            </w:r>
            <w:r>
              <w:rPr>
                <w:rFonts w:hint="default" w:ascii="Times New Roman" w:hAnsi="Times New Roman" w:eastAsia="黑体" w:cs="Times New Roman"/>
                <w:b w:val="0"/>
                <w:bCs w:val="0"/>
                <w:spacing w:val="15"/>
                <w:sz w:val="32"/>
                <w:szCs w:val="32"/>
              </w:rPr>
              <w:t>小区住房楼栋台账（样例）</w:t>
            </w:r>
          </w:p>
        </w:tc>
      </w:tr>
      <w:tr w14:paraId="3C388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center"/>
        </w:trPr>
        <w:tc>
          <w:tcPr>
            <w:tcW w:w="9142" w:type="dxa"/>
            <w:gridSpan w:val="5"/>
            <w:tcBorders>
              <w:top w:val="single" w:color="000000" w:sz="2" w:space="0"/>
              <w:bottom w:val="single" w:color="000000" w:sz="2" w:space="0"/>
            </w:tcBorders>
          </w:tcPr>
          <w:p w14:paraId="4F5F6BC5">
            <w:pPr>
              <w:spacing w:before="37" w:line="217" w:lineRule="auto"/>
              <w:ind w:left="131"/>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2"/>
                <w:sz w:val="24"/>
                <w:szCs w:val="24"/>
              </w:rPr>
              <w:t>第一部分：基本信息</w:t>
            </w:r>
          </w:p>
        </w:tc>
      </w:tr>
      <w:tr w14:paraId="51D2B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jc w:val="center"/>
        </w:trPr>
        <w:tc>
          <w:tcPr>
            <w:tcW w:w="1639" w:type="dxa"/>
            <w:tcBorders>
              <w:top w:val="single" w:color="000000" w:sz="2" w:space="0"/>
              <w:bottom w:val="single" w:color="000000" w:sz="2" w:space="0"/>
            </w:tcBorders>
          </w:tcPr>
          <w:p w14:paraId="7A896AF5">
            <w:pPr>
              <w:spacing w:before="57" w:line="218" w:lineRule="auto"/>
              <w:ind w:left="128"/>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1.</w:t>
            </w:r>
            <w:r>
              <w:rPr>
                <w:rFonts w:hint="default" w:ascii="Times New Roman" w:hAnsi="Times New Roman" w:eastAsia="仿宋_GB2312" w:cs="Times New Roman"/>
                <w:spacing w:val="-2"/>
                <w:szCs w:val="21"/>
              </w:rPr>
              <w:t>1 住宅楼号</w:t>
            </w:r>
          </w:p>
        </w:tc>
        <w:tc>
          <w:tcPr>
            <w:tcW w:w="3156" w:type="dxa"/>
            <w:tcBorders>
              <w:top w:val="single" w:color="000000" w:sz="2" w:space="0"/>
              <w:bottom w:val="single" w:color="000000" w:sz="2" w:space="0"/>
            </w:tcBorders>
          </w:tcPr>
          <w:p w14:paraId="5EDC42DB">
            <w:pPr>
              <w:spacing w:before="56" w:line="215" w:lineRule="auto"/>
              <w:ind w:left="100"/>
              <w:rPr>
                <w:rFonts w:hint="default" w:ascii="Times New Roman" w:hAnsi="Times New Roman" w:eastAsia="仿宋_GB2312" w:cs="Times New Roman"/>
                <w:szCs w:val="21"/>
              </w:rPr>
            </w:pPr>
            <w:r>
              <w:rPr>
                <w:rFonts w:hint="default" w:ascii="Times New Roman" w:hAnsi="Times New Roman" w:eastAsia="仿宋_GB2312" w:cs="Times New Roman"/>
                <w:spacing w:val="2"/>
                <w:szCs w:val="21"/>
              </w:rPr>
              <w:t>__</w:t>
            </w:r>
            <w:r>
              <w:rPr>
                <w:rFonts w:hint="default" w:ascii="Times New Roman" w:hAnsi="Times New Roman" w:eastAsia="仿宋_GB2312" w:cs="Times New Roman"/>
                <w:spacing w:val="1"/>
                <w:szCs w:val="21"/>
              </w:rPr>
              <w:t>_____号楼</w:t>
            </w:r>
          </w:p>
        </w:tc>
        <w:tc>
          <w:tcPr>
            <w:tcW w:w="2874" w:type="dxa"/>
            <w:gridSpan w:val="2"/>
            <w:tcBorders>
              <w:top w:val="single" w:color="000000" w:sz="2" w:space="0"/>
              <w:bottom w:val="single" w:color="000000" w:sz="2" w:space="0"/>
            </w:tcBorders>
          </w:tcPr>
          <w:p w14:paraId="52E5327F">
            <w:pPr>
              <w:spacing w:before="56" w:line="218" w:lineRule="auto"/>
              <w:ind w:left="126"/>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1.</w:t>
            </w:r>
            <w:r>
              <w:rPr>
                <w:rFonts w:hint="default" w:ascii="Times New Roman" w:hAnsi="Times New Roman" w:eastAsia="仿宋_GB2312" w:cs="Times New Roman"/>
                <w:spacing w:val="-2"/>
                <w:szCs w:val="21"/>
              </w:rPr>
              <w:t>2 单元数量</w:t>
            </w:r>
          </w:p>
        </w:tc>
        <w:tc>
          <w:tcPr>
            <w:tcW w:w="1473" w:type="dxa"/>
            <w:tcBorders>
              <w:top w:val="single" w:color="000000" w:sz="2" w:space="0"/>
              <w:bottom w:val="single" w:color="000000" w:sz="2" w:space="0"/>
            </w:tcBorders>
          </w:tcPr>
          <w:p w14:paraId="34EE7657">
            <w:pPr>
              <w:spacing w:before="56" w:line="215" w:lineRule="auto"/>
              <w:ind w:left="105"/>
              <w:rPr>
                <w:rFonts w:hint="default" w:ascii="Times New Roman" w:hAnsi="Times New Roman" w:eastAsia="仿宋_GB2312" w:cs="Times New Roman"/>
                <w:szCs w:val="21"/>
              </w:rPr>
            </w:pPr>
            <w:r>
              <w:rPr>
                <w:rFonts w:hint="default" w:ascii="Times New Roman" w:hAnsi="Times New Roman" w:eastAsia="仿宋_GB2312" w:cs="Times New Roman"/>
                <w:spacing w:val="3"/>
                <w:szCs w:val="21"/>
              </w:rPr>
              <w:t>_</w:t>
            </w:r>
            <w:r>
              <w:rPr>
                <w:rFonts w:hint="default" w:ascii="Times New Roman" w:hAnsi="Times New Roman" w:eastAsia="仿宋_GB2312" w:cs="Times New Roman"/>
                <w:spacing w:val="2"/>
                <w:szCs w:val="21"/>
              </w:rPr>
              <w:t>______个</w:t>
            </w:r>
          </w:p>
        </w:tc>
      </w:tr>
      <w:tr w14:paraId="5C031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center"/>
        </w:trPr>
        <w:tc>
          <w:tcPr>
            <w:tcW w:w="1639" w:type="dxa"/>
            <w:tcBorders>
              <w:top w:val="single" w:color="000000" w:sz="2" w:space="0"/>
              <w:bottom w:val="single" w:color="000000" w:sz="2" w:space="0"/>
            </w:tcBorders>
          </w:tcPr>
          <w:p w14:paraId="789375A8">
            <w:pPr>
              <w:spacing w:before="54" w:line="220" w:lineRule="auto"/>
              <w:ind w:left="128"/>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1.</w:t>
            </w:r>
            <w:r>
              <w:rPr>
                <w:rFonts w:hint="default" w:ascii="Times New Roman" w:hAnsi="Times New Roman" w:eastAsia="仿宋_GB2312" w:cs="Times New Roman"/>
                <w:spacing w:val="-2"/>
                <w:szCs w:val="21"/>
              </w:rPr>
              <w:t>3 建造时间</w:t>
            </w:r>
          </w:p>
        </w:tc>
        <w:tc>
          <w:tcPr>
            <w:tcW w:w="3156" w:type="dxa"/>
            <w:tcBorders>
              <w:top w:val="single" w:color="000000" w:sz="2" w:space="0"/>
              <w:bottom w:val="single" w:color="000000" w:sz="2" w:space="0"/>
            </w:tcBorders>
          </w:tcPr>
          <w:p w14:paraId="0F0D941E">
            <w:pPr>
              <w:spacing w:before="54" w:line="215" w:lineRule="auto"/>
              <w:ind w:left="100"/>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3"/>
                <w:szCs w:val="21"/>
              </w:rPr>
              <w:t>_</w:t>
            </w:r>
            <w:r>
              <w:rPr>
                <w:rFonts w:hint="default" w:ascii="Times New Roman" w:hAnsi="Times New Roman" w:eastAsia="仿宋_GB2312" w:cs="Times New Roman"/>
                <w:spacing w:val="2"/>
                <w:szCs w:val="21"/>
              </w:rPr>
              <w:t>_____年</w:t>
            </w:r>
          </w:p>
        </w:tc>
        <w:tc>
          <w:tcPr>
            <w:tcW w:w="2874" w:type="dxa"/>
            <w:gridSpan w:val="2"/>
            <w:tcBorders>
              <w:top w:val="single" w:color="000000" w:sz="2" w:space="0"/>
              <w:bottom w:val="single" w:color="000000" w:sz="2" w:space="0"/>
            </w:tcBorders>
          </w:tcPr>
          <w:p w14:paraId="11553B42">
            <w:pPr>
              <w:spacing w:before="54" w:line="220" w:lineRule="auto"/>
              <w:ind w:left="126"/>
              <w:rPr>
                <w:rFonts w:hint="default" w:ascii="Times New Roman" w:hAnsi="Times New Roman" w:eastAsia="仿宋_GB2312" w:cs="Times New Roman"/>
                <w:szCs w:val="21"/>
              </w:rPr>
            </w:pPr>
            <w:r>
              <w:rPr>
                <w:rFonts w:hint="default" w:ascii="Times New Roman" w:hAnsi="Times New Roman" w:eastAsia="仿宋_GB2312" w:cs="Times New Roman"/>
                <w:spacing w:val="-10"/>
                <w:szCs w:val="21"/>
              </w:rPr>
              <w:t>1</w:t>
            </w:r>
            <w:r>
              <w:rPr>
                <w:rFonts w:hint="default" w:ascii="Times New Roman" w:hAnsi="Times New Roman" w:eastAsia="仿宋_GB2312" w:cs="Times New Roman"/>
                <w:spacing w:val="-9"/>
                <w:szCs w:val="21"/>
              </w:rPr>
              <w:t>.4 建筑层数</w:t>
            </w:r>
          </w:p>
        </w:tc>
        <w:tc>
          <w:tcPr>
            <w:tcW w:w="1473" w:type="dxa"/>
            <w:tcBorders>
              <w:top w:val="single" w:color="000000" w:sz="2" w:space="0"/>
              <w:bottom w:val="single" w:color="000000" w:sz="2" w:space="0"/>
            </w:tcBorders>
          </w:tcPr>
          <w:p w14:paraId="29734C22">
            <w:pPr>
              <w:spacing w:before="54" w:line="215" w:lineRule="auto"/>
              <w:ind w:left="105"/>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2"/>
                <w:szCs w:val="21"/>
              </w:rPr>
              <w:t>______层</w:t>
            </w:r>
          </w:p>
        </w:tc>
      </w:tr>
      <w:tr w14:paraId="2D3EA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center"/>
        </w:trPr>
        <w:tc>
          <w:tcPr>
            <w:tcW w:w="1639" w:type="dxa"/>
            <w:tcBorders>
              <w:top w:val="single" w:color="000000" w:sz="2" w:space="0"/>
              <w:bottom w:val="single" w:color="000000" w:sz="2" w:space="0"/>
            </w:tcBorders>
          </w:tcPr>
          <w:p w14:paraId="6C21B575">
            <w:pPr>
              <w:spacing w:before="55" w:line="218" w:lineRule="auto"/>
              <w:ind w:left="128"/>
              <w:rPr>
                <w:rFonts w:hint="default" w:ascii="Times New Roman" w:hAnsi="Times New Roman" w:eastAsia="仿宋_GB2312" w:cs="Times New Roman"/>
                <w:szCs w:val="21"/>
              </w:rPr>
            </w:pPr>
            <w:r>
              <w:rPr>
                <w:rFonts w:hint="default" w:ascii="Times New Roman" w:hAnsi="Times New Roman" w:eastAsia="仿宋_GB2312" w:cs="Times New Roman"/>
                <w:spacing w:val="-10"/>
                <w:szCs w:val="21"/>
              </w:rPr>
              <w:t>1</w:t>
            </w:r>
            <w:r>
              <w:rPr>
                <w:rFonts w:hint="default" w:ascii="Times New Roman" w:hAnsi="Times New Roman" w:eastAsia="仿宋_GB2312" w:cs="Times New Roman"/>
                <w:spacing w:val="-9"/>
                <w:szCs w:val="21"/>
              </w:rPr>
              <w:t>.5 常住人口</w:t>
            </w:r>
          </w:p>
        </w:tc>
        <w:tc>
          <w:tcPr>
            <w:tcW w:w="3156" w:type="dxa"/>
            <w:tcBorders>
              <w:top w:val="single" w:color="000000" w:sz="2" w:space="0"/>
              <w:bottom w:val="single" w:color="000000" w:sz="2" w:space="0"/>
            </w:tcBorders>
          </w:tcPr>
          <w:p w14:paraId="308B5AE5">
            <w:pPr>
              <w:spacing w:before="54" w:line="215" w:lineRule="auto"/>
              <w:ind w:left="100"/>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3"/>
                <w:szCs w:val="21"/>
              </w:rPr>
              <w:t>_</w:t>
            </w:r>
            <w:r>
              <w:rPr>
                <w:rFonts w:hint="default" w:ascii="Times New Roman" w:hAnsi="Times New Roman" w:eastAsia="仿宋_GB2312" w:cs="Times New Roman"/>
                <w:spacing w:val="2"/>
                <w:szCs w:val="21"/>
              </w:rPr>
              <w:t>_____人</w:t>
            </w:r>
          </w:p>
        </w:tc>
        <w:tc>
          <w:tcPr>
            <w:tcW w:w="2874" w:type="dxa"/>
            <w:gridSpan w:val="2"/>
            <w:tcBorders>
              <w:top w:val="single" w:color="000000" w:sz="2" w:space="0"/>
              <w:bottom w:val="single" w:color="000000" w:sz="2" w:space="0"/>
            </w:tcBorders>
          </w:tcPr>
          <w:p w14:paraId="2520161B">
            <w:pPr>
              <w:spacing w:before="55" w:line="218" w:lineRule="auto"/>
              <w:ind w:left="126"/>
              <w:rPr>
                <w:rFonts w:hint="default" w:ascii="Times New Roman" w:hAnsi="Times New Roman" w:eastAsia="仿宋_GB2312" w:cs="Times New Roman"/>
                <w:szCs w:val="21"/>
              </w:rPr>
            </w:pPr>
            <w:r>
              <w:rPr>
                <w:rFonts w:hint="default" w:ascii="Times New Roman" w:hAnsi="Times New Roman" w:eastAsia="仿宋_GB2312" w:cs="Times New Roman"/>
                <w:spacing w:val="-2"/>
                <w:szCs w:val="21"/>
              </w:rPr>
              <w:t>1.6 六十岁</w:t>
            </w:r>
            <w:r>
              <w:rPr>
                <w:rFonts w:hint="default" w:ascii="Times New Roman" w:hAnsi="Times New Roman" w:eastAsia="仿宋_GB2312" w:cs="Times New Roman"/>
                <w:spacing w:val="-1"/>
                <w:szCs w:val="21"/>
              </w:rPr>
              <w:t>以上常住人口</w:t>
            </w:r>
          </w:p>
        </w:tc>
        <w:tc>
          <w:tcPr>
            <w:tcW w:w="1473" w:type="dxa"/>
            <w:tcBorders>
              <w:top w:val="single" w:color="000000" w:sz="2" w:space="0"/>
              <w:bottom w:val="single" w:color="000000" w:sz="2" w:space="0"/>
            </w:tcBorders>
          </w:tcPr>
          <w:p w14:paraId="2112B426">
            <w:pPr>
              <w:spacing w:before="54" w:line="215" w:lineRule="auto"/>
              <w:ind w:left="105"/>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_</w:t>
            </w:r>
            <w:r>
              <w:rPr>
                <w:rFonts w:hint="default" w:ascii="Times New Roman" w:hAnsi="Times New Roman" w:eastAsia="仿宋_GB2312" w:cs="Times New Roman"/>
                <w:spacing w:val="3"/>
                <w:szCs w:val="21"/>
              </w:rPr>
              <w:t>_</w:t>
            </w:r>
            <w:r>
              <w:rPr>
                <w:rFonts w:hint="default" w:ascii="Times New Roman" w:hAnsi="Times New Roman" w:eastAsia="仿宋_GB2312" w:cs="Times New Roman"/>
                <w:spacing w:val="2"/>
                <w:szCs w:val="21"/>
              </w:rPr>
              <w:t>_____人</w:t>
            </w:r>
          </w:p>
        </w:tc>
      </w:tr>
      <w:tr w14:paraId="3DB765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jc w:val="center"/>
        </w:trPr>
        <w:tc>
          <w:tcPr>
            <w:tcW w:w="9142" w:type="dxa"/>
            <w:gridSpan w:val="5"/>
            <w:tcBorders>
              <w:top w:val="single" w:color="000000" w:sz="2" w:space="0"/>
              <w:bottom w:val="single" w:color="000000" w:sz="2" w:space="0"/>
            </w:tcBorders>
          </w:tcPr>
          <w:p w14:paraId="0FA26AD9">
            <w:pPr>
              <w:spacing w:before="38" w:line="218" w:lineRule="auto"/>
              <w:ind w:left="131"/>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2"/>
                <w:sz w:val="24"/>
                <w:szCs w:val="24"/>
              </w:rPr>
              <w:t>第二部分：现状情况</w:t>
            </w:r>
          </w:p>
        </w:tc>
      </w:tr>
      <w:tr w14:paraId="2A5FA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7" w:hRule="atLeast"/>
          <w:jc w:val="center"/>
        </w:trPr>
        <w:tc>
          <w:tcPr>
            <w:tcW w:w="1639" w:type="dxa"/>
            <w:tcBorders>
              <w:top w:val="single" w:color="000000" w:sz="2" w:space="0"/>
              <w:bottom w:val="single" w:color="000000" w:sz="2" w:space="0"/>
            </w:tcBorders>
          </w:tcPr>
          <w:p w14:paraId="6C03F3BD">
            <w:pPr>
              <w:spacing w:before="56" w:line="287" w:lineRule="auto"/>
              <w:ind w:left="128" w:right="262" w:hanging="13"/>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2.1 使用安全</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5"/>
                <w:szCs w:val="21"/>
              </w:rPr>
              <w:t>隐患问题</w:t>
            </w:r>
          </w:p>
        </w:tc>
        <w:tc>
          <w:tcPr>
            <w:tcW w:w="3156" w:type="dxa"/>
            <w:tcBorders>
              <w:top w:val="single" w:color="000000" w:sz="2" w:space="0"/>
              <w:bottom w:val="single" w:color="000000" w:sz="2" w:space="0"/>
            </w:tcBorders>
          </w:tcPr>
          <w:p w14:paraId="6572E3D2">
            <w:pPr>
              <w:spacing w:before="57" w:line="219" w:lineRule="auto"/>
              <w:ind w:left="116"/>
              <w:rPr>
                <w:rFonts w:hint="default" w:ascii="Times New Roman" w:hAnsi="Times New Roman" w:eastAsia="仿宋_GB2312" w:cs="Times New Roman"/>
                <w:szCs w:val="21"/>
              </w:rPr>
            </w:pPr>
            <w:r>
              <w:rPr>
                <w:rFonts w:hint="default" w:ascii="Times New Roman" w:hAnsi="Times New Roman" w:eastAsia="仿宋_GB2312" w:cs="Times New Roman"/>
                <w:spacing w:val="-7"/>
                <w:szCs w:val="21"/>
              </w:rPr>
              <w:t>具</w:t>
            </w:r>
            <w:r>
              <w:rPr>
                <w:rFonts w:hint="default" w:ascii="Times New Roman" w:hAnsi="Times New Roman" w:eastAsia="仿宋_GB2312" w:cs="Times New Roman"/>
                <w:spacing w:val="-5"/>
                <w:szCs w:val="21"/>
              </w:rPr>
              <w:t>体问题描述：</w:t>
            </w:r>
          </w:p>
        </w:tc>
        <w:tc>
          <w:tcPr>
            <w:tcW w:w="2095" w:type="dxa"/>
            <w:tcBorders>
              <w:top w:val="single" w:color="000000" w:sz="2" w:space="0"/>
              <w:bottom w:val="single" w:color="000000" w:sz="2" w:space="0"/>
            </w:tcBorders>
          </w:tcPr>
          <w:p w14:paraId="15468785">
            <w:pPr>
              <w:spacing w:before="58" w:line="218" w:lineRule="auto"/>
              <w:ind w:left="119"/>
              <w:rPr>
                <w:rFonts w:hint="default" w:ascii="Times New Roman" w:hAnsi="Times New Roman" w:eastAsia="仿宋_GB2312" w:cs="Times New Roman"/>
                <w:szCs w:val="21"/>
              </w:rPr>
            </w:pPr>
            <w:r>
              <w:rPr>
                <w:rFonts w:hint="default" w:ascii="Times New Roman" w:hAnsi="Times New Roman" w:eastAsia="仿宋_GB2312" w:cs="Times New Roman"/>
                <w:spacing w:val="-9"/>
                <w:szCs w:val="21"/>
              </w:rPr>
              <w:t>具</w:t>
            </w:r>
            <w:r>
              <w:rPr>
                <w:rFonts w:hint="default" w:ascii="Times New Roman" w:hAnsi="Times New Roman" w:eastAsia="仿宋_GB2312" w:cs="Times New Roman"/>
                <w:spacing w:val="-7"/>
                <w:szCs w:val="21"/>
              </w:rPr>
              <w:t>体位置：</w:t>
            </w:r>
          </w:p>
        </w:tc>
        <w:tc>
          <w:tcPr>
            <w:tcW w:w="2252" w:type="dxa"/>
            <w:gridSpan w:val="2"/>
            <w:tcBorders>
              <w:top w:val="single" w:color="000000" w:sz="2" w:space="0"/>
              <w:bottom w:val="single" w:color="000000" w:sz="2" w:space="0"/>
            </w:tcBorders>
          </w:tcPr>
          <w:p w14:paraId="103F6BFF">
            <w:pPr>
              <w:spacing w:before="57" w:line="220" w:lineRule="auto"/>
              <w:ind w:left="123"/>
              <w:rPr>
                <w:rFonts w:hint="default" w:ascii="Times New Roman" w:hAnsi="Times New Roman" w:eastAsia="仿宋_GB2312" w:cs="Times New Roman"/>
                <w:szCs w:val="21"/>
              </w:rPr>
            </w:pPr>
            <w:r>
              <w:rPr>
                <w:rFonts w:hint="default" w:ascii="Times New Roman" w:hAnsi="Times New Roman" w:eastAsia="仿宋_GB2312" w:cs="Times New Roman"/>
                <w:spacing w:val="-15"/>
                <w:szCs w:val="21"/>
              </w:rPr>
              <w:t>照</w:t>
            </w:r>
            <w:r>
              <w:rPr>
                <w:rFonts w:hint="default" w:ascii="Times New Roman" w:hAnsi="Times New Roman" w:eastAsia="仿宋_GB2312" w:cs="Times New Roman"/>
                <w:spacing w:val="-14"/>
                <w:szCs w:val="21"/>
              </w:rPr>
              <w:t>片：</w:t>
            </w:r>
          </w:p>
        </w:tc>
      </w:tr>
      <w:tr w14:paraId="49422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jc w:val="center"/>
        </w:trPr>
        <w:tc>
          <w:tcPr>
            <w:tcW w:w="1639" w:type="dxa"/>
            <w:tcBorders>
              <w:top w:val="single" w:color="000000" w:sz="2" w:space="0"/>
              <w:bottom w:val="single" w:color="000000" w:sz="2" w:space="0"/>
            </w:tcBorders>
          </w:tcPr>
          <w:p w14:paraId="33C798E6">
            <w:pPr>
              <w:spacing w:before="55" w:line="287" w:lineRule="auto"/>
              <w:ind w:left="128" w:right="262" w:hanging="13"/>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2.2 燃气安全</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6"/>
                <w:szCs w:val="21"/>
              </w:rPr>
              <w:t>隐</w:t>
            </w:r>
            <w:r>
              <w:rPr>
                <w:rFonts w:hint="default" w:ascii="Times New Roman" w:hAnsi="Times New Roman" w:eastAsia="仿宋_GB2312" w:cs="Times New Roman"/>
                <w:spacing w:val="-5"/>
                <w:szCs w:val="21"/>
              </w:rPr>
              <w:t>患问题</w:t>
            </w:r>
          </w:p>
        </w:tc>
        <w:tc>
          <w:tcPr>
            <w:tcW w:w="3156" w:type="dxa"/>
            <w:tcBorders>
              <w:top w:val="single" w:color="000000" w:sz="2" w:space="0"/>
              <w:bottom w:val="single" w:color="000000" w:sz="2" w:space="0"/>
            </w:tcBorders>
          </w:tcPr>
          <w:p w14:paraId="58FC9C4D">
            <w:pPr>
              <w:spacing w:before="56" w:line="219" w:lineRule="auto"/>
              <w:ind w:left="116"/>
              <w:rPr>
                <w:rFonts w:hint="default" w:ascii="Times New Roman" w:hAnsi="Times New Roman" w:eastAsia="仿宋_GB2312" w:cs="Times New Roman"/>
                <w:szCs w:val="21"/>
              </w:rPr>
            </w:pPr>
            <w:r>
              <w:rPr>
                <w:rFonts w:hint="default" w:ascii="Times New Roman" w:hAnsi="Times New Roman" w:eastAsia="仿宋_GB2312" w:cs="Times New Roman"/>
                <w:spacing w:val="-7"/>
                <w:szCs w:val="21"/>
              </w:rPr>
              <w:t>具</w:t>
            </w:r>
            <w:r>
              <w:rPr>
                <w:rFonts w:hint="default" w:ascii="Times New Roman" w:hAnsi="Times New Roman" w:eastAsia="仿宋_GB2312" w:cs="Times New Roman"/>
                <w:spacing w:val="-5"/>
                <w:szCs w:val="21"/>
              </w:rPr>
              <w:t>体问题描述：</w:t>
            </w:r>
          </w:p>
        </w:tc>
        <w:tc>
          <w:tcPr>
            <w:tcW w:w="2095" w:type="dxa"/>
            <w:tcBorders>
              <w:top w:val="single" w:color="000000" w:sz="2" w:space="0"/>
              <w:bottom w:val="single" w:color="000000" w:sz="2" w:space="0"/>
            </w:tcBorders>
          </w:tcPr>
          <w:p w14:paraId="5FBD335E">
            <w:pPr>
              <w:spacing w:before="56" w:line="218" w:lineRule="auto"/>
              <w:ind w:left="119"/>
              <w:rPr>
                <w:rFonts w:hint="default" w:ascii="Times New Roman" w:hAnsi="Times New Roman" w:eastAsia="仿宋_GB2312" w:cs="Times New Roman"/>
                <w:szCs w:val="21"/>
              </w:rPr>
            </w:pPr>
            <w:r>
              <w:rPr>
                <w:rFonts w:hint="default" w:ascii="Times New Roman" w:hAnsi="Times New Roman" w:eastAsia="仿宋_GB2312" w:cs="Times New Roman"/>
                <w:spacing w:val="-9"/>
                <w:szCs w:val="21"/>
              </w:rPr>
              <w:t>具</w:t>
            </w:r>
            <w:r>
              <w:rPr>
                <w:rFonts w:hint="default" w:ascii="Times New Roman" w:hAnsi="Times New Roman" w:eastAsia="仿宋_GB2312" w:cs="Times New Roman"/>
                <w:spacing w:val="-7"/>
                <w:szCs w:val="21"/>
              </w:rPr>
              <w:t>体位置：</w:t>
            </w:r>
          </w:p>
        </w:tc>
        <w:tc>
          <w:tcPr>
            <w:tcW w:w="2252" w:type="dxa"/>
            <w:gridSpan w:val="2"/>
            <w:tcBorders>
              <w:top w:val="single" w:color="000000" w:sz="2" w:space="0"/>
              <w:bottom w:val="single" w:color="000000" w:sz="2" w:space="0"/>
            </w:tcBorders>
          </w:tcPr>
          <w:p w14:paraId="24388ACB">
            <w:pPr>
              <w:spacing w:before="55" w:line="220" w:lineRule="auto"/>
              <w:ind w:left="123"/>
              <w:rPr>
                <w:rFonts w:hint="default" w:ascii="Times New Roman" w:hAnsi="Times New Roman" w:eastAsia="仿宋_GB2312" w:cs="Times New Roman"/>
                <w:szCs w:val="21"/>
              </w:rPr>
            </w:pPr>
            <w:r>
              <w:rPr>
                <w:rFonts w:hint="default" w:ascii="Times New Roman" w:hAnsi="Times New Roman" w:eastAsia="仿宋_GB2312" w:cs="Times New Roman"/>
                <w:spacing w:val="-15"/>
                <w:szCs w:val="21"/>
              </w:rPr>
              <w:t>照</w:t>
            </w:r>
            <w:r>
              <w:rPr>
                <w:rFonts w:hint="default" w:ascii="Times New Roman" w:hAnsi="Times New Roman" w:eastAsia="仿宋_GB2312" w:cs="Times New Roman"/>
                <w:spacing w:val="-14"/>
                <w:szCs w:val="21"/>
              </w:rPr>
              <w:t>片：</w:t>
            </w:r>
          </w:p>
        </w:tc>
      </w:tr>
      <w:tr w14:paraId="3AA2D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jc w:val="center"/>
        </w:trPr>
        <w:tc>
          <w:tcPr>
            <w:tcW w:w="1639" w:type="dxa"/>
            <w:tcBorders>
              <w:top w:val="single" w:color="000000" w:sz="2" w:space="0"/>
              <w:bottom w:val="single" w:color="000000" w:sz="2" w:space="0"/>
            </w:tcBorders>
          </w:tcPr>
          <w:p w14:paraId="2DC6066E">
            <w:pPr>
              <w:spacing w:before="55" w:line="287" w:lineRule="auto"/>
              <w:ind w:left="128" w:right="262" w:hanging="13"/>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2.3 楼道安全</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6"/>
                <w:szCs w:val="21"/>
              </w:rPr>
              <w:t>隐</w:t>
            </w:r>
            <w:r>
              <w:rPr>
                <w:rFonts w:hint="default" w:ascii="Times New Roman" w:hAnsi="Times New Roman" w:eastAsia="仿宋_GB2312" w:cs="Times New Roman"/>
                <w:spacing w:val="-5"/>
                <w:szCs w:val="21"/>
              </w:rPr>
              <w:t>患问题</w:t>
            </w:r>
          </w:p>
        </w:tc>
        <w:tc>
          <w:tcPr>
            <w:tcW w:w="3156" w:type="dxa"/>
            <w:tcBorders>
              <w:top w:val="single" w:color="000000" w:sz="2" w:space="0"/>
              <w:bottom w:val="single" w:color="000000" w:sz="2" w:space="0"/>
            </w:tcBorders>
          </w:tcPr>
          <w:p w14:paraId="2E1C9927">
            <w:pPr>
              <w:spacing w:before="56" w:line="219" w:lineRule="auto"/>
              <w:ind w:left="116"/>
              <w:rPr>
                <w:rFonts w:hint="default" w:ascii="Times New Roman" w:hAnsi="Times New Roman" w:eastAsia="仿宋_GB2312" w:cs="Times New Roman"/>
                <w:szCs w:val="21"/>
              </w:rPr>
            </w:pPr>
            <w:r>
              <w:rPr>
                <w:rFonts w:hint="default" w:ascii="Times New Roman" w:hAnsi="Times New Roman" w:eastAsia="仿宋_GB2312" w:cs="Times New Roman"/>
                <w:spacing w:val="-7"/>
                <w:szCs w:val="21"/>
              </w:rPr>
              <w:t>具</w:t>
            </w:r>
            <w:r>
              <w:rPr>
                <w:rFonts w:hint="default" w:ascii="Times New Roman" w:hAnsi="Times New Roman" w:eastAsia="仿宋_GB2312" w:cs="Times New Roman"/>
                <w:spacing w:val="-5"/>
                <w:szCs w:val="21"/>
              </w:rPr>
              <w:t>体问题描述：</w:t>
            </w:r>
          </w:p>
        </w:tc>
        <w:tc>
          <w:tcPr>
            <w:tcW w:w="2095" w:type="dxa"/>
            <w:tcBorders>
              <w:top w:val="single" w:color="000000" w:sz="2" w:space="0"/>
              <w:bottom w:val="single" w:color="000000" w:sz="2" w:space="0"/>
            </w:tcBorders>
          </w:tcPr>
          <w:p w14:paraId="06CF49BC">
            <w:pPr>
              <w:spacing w:before="56" w:line="218" w:lineRule="auto"/>
              <w:ind w:left="119"/>
              <w:rPr>
                <w:rFonts w:hint="default" w:ascii="Times New Roman" w:hAnsi="Times New Roman" w:eastAsia="仿宋_GB2312" w:cs="Times New Roman"/>
                <w:szCs w:val="21"/>
              </w:rPr>
            </w:pPr>
            <w:r>
              <w:rPr>
                <w:rFonts w:hint="default" w:ascii="Times New Roman" w:hAnsi="Times New Roman" w:eastAsia="仿宋_GB2312" w:cs="Times New Roman"/>
                <w:spacing w:val="-9"/>
                <w:szCs w:val="21"/>
              </w:rPr>
              <w:t>具</w:t>
            </w:r>
            <w:r>
              <w:rPr>
                <w:rFonts w:hint="default" w:ascii="Times New Roman" w:hAnsi="Times New Roman" w:eastAsia="仿宋_GB2312" w:cs="Times New Roman"/>
                <w:spacing w:val="-7"/>
                <w:szCs w:val="21"/>
              </w:rPr>
              <w:t>体位置：</w:t>
            </w:r>
          </w:p>
        </w:tc>
        <w:tc>
          <w:tcPr>
            <w:tcW w:w="2252" w:type="dxa"/>
            <w:gridSpan w:val="2"/>
            <w:tcBorders>
              <w:top w:val="single" w:color="000000" w:sz="2" w:space="0"/>
              <w:bottom w:val="single" w:color="000000" w:sz="2" w:space="0"/>
            </w:tcBorders>
          </w:tcPr>
          <w:p w14:paraId="3114BEA5">
            <w:pPr>
              <w:spacing w:before="56" w:line="220" w:lineRule="auto"/>
              <w:ind w:left="123"/>
              <w:rPr>
                <w:rFonts w:hint="default" w:ascii="Times New Roman" w:hAnsi="Times New Roman" w:eastAsia="仿宋_GB2312" w:cs="Times New Roman"/>
                <w:szCs w:val="21"/>
              </w:rPr>
            </w:pPr>
            <w:r>
              <w:rPr>
                <w:rFonts w:hint="default" w:ascii="Times New Roman" w:hAnsi="Times New Roman" w:eastAsia="仿宋_GB2312" w:cs="Times New Roman"/>
                <w:spacing w:val="-15"/>
                <w:szCs w:val="21"/>
              </w:rPr>
              <w:t>照</w:t>
            </w:r>
            <w:r>
              <w:rPr>
                <w:rFonts w:hint="default" w:ascii="Times New Roman" w:hAnsi="Times New Roman" w:eastAsia="仿宋_GB2312" w:cs="Times New Roman"/>
                <w:spacing w:val="-14"/>
                <w:szCs w:val="21"/>
              </w:rPr>
              <w:t>片：</w:t>
            </w:r>
          </w:p>
        </w:tc>
      </w:tr>
      <w:tr w14:paraId="5B820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6" w:hRule="atLeast"/>
          <w:jc w:val="center"/>
        </w:trPr>
        <w:tc>
          <w:tcPr>
            <w:tcW w:w="1639" w:type="dxa"/>
            <w:tcBorders>
              <w:top w:val="single" w:color="000000" w:sz="2" w:space="0"/>
              <w:bottom w:val="single" w:color="000000" w:sz="2" w:space="0"/>
            </w:tcBorders>
          </w:tcPr>
          <w:p w14:paraId="43904D6B">
            <w:pPr>
              <w:spacing w:before="56" w:line="287" w:lineRule="auto"/>
              <w:ind w:left="131" w:right="103" w:hanging="16"/>
              <w:rPr>
                <w:rFonts w:hint="default" w:ascii="Times New Roman" w:hAnsi="Times New Roman" w:eastAsia="仿宋_GB2312" w:cs="Times New Roman"/>
                <w:szCs w:val="21"/>
              </w:rPr>
            </w:pPr>
            <w:r>
              <w:rPr>
                <w:rFonts w:hint="default" w:ascii="Times New Roman" w:hAnsi="Times New Roman" w:eastAsia="仿宋_GB2312" w:cs="Times New Roman"/>
                <w:spacing w:val="-11"/>
                <w:szCs w:val="21"/>
              </w:rPr>
              <w:t>2</w:t>
            </w:r>
            <w:r>
              <w:rPr>
                <w:rFonts w:hint="default" w:ascii="Times New Roman" w:hAnsi="Times New Roman" w:eastAsia="仿宋_GB2312" w:cs="Times New Roman"/>
                <w:spacing w:val="-6"/>
                <w:szCs w:val="21"/>
              </w:rPr>
              <w:t>.4 围护安全隐</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9"/>
                <w:szCs w:val="21"/>
              </w:rPr>
              <w:t>患</w:t>
            </w:r>
            <w:r>
              <w:rPr>
                <w:rFonts w:hint="default" w:ascii="Times New Roman" w:hAnsi="Times New Roman" w:eastAsia="仿宋_GB2312" w:cs="Times New Roman"/>
                <w:spacing w:val="-7"/>
                <w:szCs w:val="21"/>
              </w:rPr>
              <w:t>问题</w:t>
            </w:r>
          </w:p>
        </w:tc>
        <w:tc>
          <w:tcPr>
            <w:tcW w:w="3156" w:type="dxa"/>
            <w:tcBorders>
              <w:top w:val="single" w:color="000000" w:sz="2" w:space="0"/>
              <w:bottom w:val="single" w:color="000000" w:sz="2" w:space="0"/>
            </w:tcBorders>
          </w:tcPr>
          <w:p w14:paraId="7D4404FB">
            <w:pPr>
              <w:spacing w:before="56" w:line="219" w:lineRule="auto"/>
              <w:ind w:left="116"/>
              <w:rPr>
                <w:rFonts w:hint="default" w:ascii="Times New Roman" w:hAnsi="Times New Roman" w:eastAsia="仿宋_GB2312" w:cs="Times New Roman"/>
                <w:szCs w:val="21"/>
              </w:rPr>
            </w:pPr>
            <w:r>
              <w:rPr>
                <w:rFonts w:hint="default" w:ascii="Times New Roman" w:hAnsi="Times New Roman" w:eastAsia="仿宋_GB2312" w:cs="Times New Roman"/>
                <w:spacing w:val="-7"/>
                <w:szCs w:val="21"/>
              </w:rPr>
              <w:t>具</w:t>
            </w:r>
            <w:r>
              <w:rPr>
                <w:rFonts w:hint="default" w:ascii="Times New Roman" w:hAnsi="Times New Roman" w:eastAsia="仿宋_GB2312" w:cs="Times New Roman"/>
                <w:spacing w:val="-5"/>
                <w:szCs w:val="21"/>
              </w:rPr>
              <w:t>体问题描述：</w:t>
            </w:r>
          </w:p>
        </w:tc>
        <w:tc>
          <w:tcPr>
            <w:tcW w:w="2095" w:type="dxa"/>
            <w:tcBorders>
              <w:top w:val="single" w:color="000000" w:sz="2" w:space="0"/>
              <w:bottom w:val="single" w:color="000000" w:sz="2" w:space="0"/>
            </w:tcBorders>
          </w:tcPr>
          <w:p w14:paraId="761ED57A">
            <w:pPr>
              <w:spacing w:before="57" w:line="218" w:lineRule="auto"/>
              <w:ind w:left="119"/>
              <w:rPr>
                <w:rFonts w:hint="default" w:ascii="Times New Roman" w:hAnsi="Times New Roman" w:eastAsia="仿宋_GB2312" w:cs="Times New Roman"/>
                <w:szCs w:val="21"/>
              </w:rPr>
            </w:pPr>
            <w:r>
              <w:rPr>
                <w:rFonts w:hint="default" w:ascii="Times New Roman" w:hAnsi="Times New Roman" w:eastAsia="仿宋_GB2312" w:cs="Times New Roman"/>
                <w:spacing w:val="-9"/>
                <w:szCs w:val="21"/>
              </w:rPr>
              <w:t>具</w:t>
            </w:r>
            <w:r>
              <w:rPr>
                <w:rFonts w:hint="default" w:ascii="Times New Roman" w:hAnsi="Times New Roman" w:eastAsia="仿宋_GB2312" w:cs="Times New Roman"/>
                <w:spacing w:val="-7"/>
                <w:szCs w:val="21"/>
              </w:rPr>
              <w:t>体位置：</w:t>
            </w:r>
          </w:p>
        </w:tc>
        <w:tc>
          <w:tcPr>
            <w:tcW w:w="2252" w:type="dxa"/>
            <w:gridSpan w:val="2"/>
            <w:tcBorders>
              <w:top w:val="single" w:color="000000" w:sz="2" w:space="0"/>
              <w:bottom w:val="single" w:color="000000" w:sz="2" w:space="0"/>
            </w:tcBorders>
          </w:tcPr>
          <w:p w14:paraId="3EA2C89B">
            <w:pPr>
              <w:spacing w:before="56" w:line="220" w:lineRule="auto"/>
              <w:ind w:left="123"/>
              <w:rPr>
                <w:rFonts w:hint="default" w:ascii="Times New Roman" w:hAnsi="Times New Roman" w:eastAsia="仿宋_GB2312" w:cs="Times New Roman"/>
                <w:szCs w:val="21"/>
              </w:rPr>
            </w:pPr>
            <w:r>
              <w:rPr>
                <w:rFonts w:hint="default" w:ascii="Times New Roman" w:hAnsi="Times New Roman" w:eastAsia="仿宋_GB2312" w:cs="Times New Roman"/>
                <w:spacing w:val="-15"/>
                <w:szCs w:val="21"/>
              </w:rPr>
              <w:t>照</w:t>
            </w:r>
            <w:r>
              <w:rPr>
                <w:rFonts w:hint="default" w:ascii="Times New Roman" w:hAnsi="Times New Roman" w:eastAsia="仿宋_GB2312" w:cs="Times New Roman"/>
                <w:spacing w:val="-14"/>
                <w:szCs w:val="21"/>
              </w:rPr>
              <w:t>片：</w:t>
            </w:r>
          </w:p>
        </w:tc>
      </w:tr>
      <w:tr w14:paraId="00678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7" w:hRule="atLeast"/>
          <w:jc w:val="center"/>
        </w:trPr>
        <w:tc>
          <w:tcPr>
            <w:tcW w:w="1639" w:type="dxa"/>
            <w:tcBorders>
              <w:top w:val="single" w:color="000000" w:sz="2" w:space="0"/>
              <w:bottom w:val="single" w:color="000000" w:sz="2" w:space="0"/>
            </w:tcBorders>
          </w:tcPr>
          <w:p w14:paraId="38A48279">
            <w:pPr>
              <w:spacing w:before="58" w:line="287" w:lineRule="auto"/>
              <w:ind w:left="124" w:right="262" w:hanging="9"/>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2.5 住宅性能</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3"/>
                <w:szCs w:val="21"/>
              </w:rPr>
              <w:t>不达标问题</w:t>
            </w:r>
          </w:p>
        </w:tc>
        <w:tc>
          <w:tcPr>
            <w:tcW w:w="3156" w:type="dxa"/>
            <w:tcBorders>
              <w:top w:val="single" w:color="000000" w:sz="2" w:space="0"/>
              <w:bottom w:val="single" w:color="000000" w:sz="2" w:space="0"/>
            </w:tcBorders>
          </w:tcPr>
          <w:p w14:paraId="1594B88C">
            <w:pPr>
              <w:spacing w:before="59" w:line="219" w:lineRule="auto"/>
              <w:ind w:left="116"/>
              <w:rPr>
                <w:rFonts w:hint="default" w:ascii="Times New Roman" w:hAnsi="Times New Roman" w:eastAsia="仿宋_GB2312" w:cs="Times New Roman"/>
                <w:szCs w:val="21"/>
              </w:rPr>
            </w:pPr>
            <w:r>
              <w:rPr>
                <w:rFonts w:hint="default" w:ascii="Times New Roman" w:hAnsi="Times New Roman" w:eastAsia="仿宋_GB2312" w:cs="Times New Roman"/>
                <w:spacing w:val="-7"/>
                <w:szCs w:val="21"/>
              </w:rPr>
              <w:t>具</w:t>
            </w:r>
            <w:r>
              <w:rPr>
                <w:rFonts w:hint="default" w:ascii="Times New Roman" w:hAnsi="Times New Roman" w:eastAsia="仿宋_GB2312" w:cs="Times New Roman"/>
                <w:spacing w:val="-5"/>
                <w:szCs w:val="21"/>
              </w:rPr>
              <w:t>体问题描述：</w:t>
            </w:r>
          </w:p>
        </w:tc>
        <w:tc>
          <w:tcPr>
            <w:tcW w:w="2095" w:type="dxa"/>
            <w:tcBorders>
              <w:top w:val="single" w:color="000000" w:sz="2" w:space="0"/>
              <w:bottom w:val="single" w:color="000000" w:sz="2" w:space="0"/>
            </w:tcBorders>
          </w:tcPr>
          <w:p w14:paraId="4A1A4B4C">
            <w:pPr>
              <w:spacing w:before="59" w:line="218" w:lineRule="auto"/>
              <w:ind w:left="119"/>
              <w:rPr>
                <w:rFonts w:hint="default" w:ascii="Times New Roman" w:hAnsi="Times New Roman" w:eastAsia="仿宋_GB2312" w:cs="Times New Roman"/>
                <w:szCs w:val="21"/>
              </w:rPr>
            </w:pPr>
            <w:r>
              <w:rPr>
                <w:rFonts w:hint="default" w:ascii="Times New Roman" w:hAnsi="Times New Roman" w:eastAsia="仿宋_GB2312" w:cs="Times New Roman"/>
                <w:spacing w:val="-9"/>
                <w:szCs w:val="21"/>
              </w:rPr>
              <w:t>具</w:t>
            </w:r>
            <w:r>
              <w:rPr>
                <w:rFonts w:hint="default" w:ascii="Times New Roman" w:hAnsi="Times New Roman" w:eastAsia="仿宋_GB2312" w:cs="Times New Roman"/>
                <w:spacing w:val="-7"/>
                <w:szCs w:val="21"/>
              </w:rPr>
              <w:t>体位置：</w:t>
            </w:r>
          </w:p>
        </w:tc>
        <w:tc>
          <w:tcPr>
            <w:tcW w:w="2252" w:type="dxa"/>
            <w:gridSpan w:val="2"/>
            <w:tcBorders>
              <w:top w:val="single" w:color="000000" w:sz="2" w:space="0"/>
              <w:bottom w:val="single" w:color="000000" w:sz="2" w:space="0"/>
            </w:tcBorders>
          </w:tcPr>
          <w:p w14:paraId="6EB1FF3F">
            <w:pPr>
              <w:spacing w:before="58" w:line="220" w:lineRule="auto"/>
              <w:ind w:left="123"/>
              <w:rPr>
                <w:rFonts w:hint="default" w:ascii="Times New Roman" w:hAnsi="Times New Roman" w:eastAsia="仿宋_GB2312" w:cs="Times New Roman"/>
                <w:szCs w:val="21"/>
              </w:rPr>
            </w:pPr>
            <w:r>
              <w:rPr>
                <w:rFonts w:hint="default" w:ascii="Times New Roman" w:hAnsi="Times New Roman" w:eastAsia="仿宋_GB2312" w:cs="Times New Roman"/>
                <w:spacing w:val="-15"/>
                <w:szCs w:val="21"/>
              </w:rPr>
              <w:t>照</w:t>
            </w:r>
            <w:r>
              <w:rPr>
                <w:rFonts w:hint="default" w:ascii="Times New Roman" w:hAnsi="Times New Roman" w:eastAsia="仿宋_GB2312" w:cs="Times New Roman"/>
                <w:spacing w:val="-14"/>
                <w:szCs w:val="21"/>
              </w:rPr>
              <w:t>片：</w:t>
            </w:r>
          </w:p>
        </w:tc>
      </w:tr>
      <w:tr w14:paraId="2988E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jc w:val="center"/>
        </w:trPr>
        <w:tc>
          <w:tcPr>
            <w:tcW w:w="1639" w:type="dxa"/>
            <w:tcBorders>
              <w:top w:val="single" w:color="000000" w:sz="2" w:space="0"/>
              <w:bottom w:val="single" w:color="000000" w:sz="2" w:space="0"/>
            </w:tcBorders>
          </w:tcPr>
          <w:p w14:paraId="03CEB3A4">
            <w:pPr>
              <w:spacing w:before="56" w:line="287" w:lineRule="auto"/>
              <w:ind w:left="118" w:right="262" w:hanging="3"/>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2.6 管线管道</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2"/>
                <w:szCs w:val="21"/>
              </w:rPr>
              <w:t>破损的问题</w:t>
            </w:r>
          </w:p>
        </w:tc>
        <w:tc>
          <w:tcPr>
            <w:tcW w:w="3156" w:type="dxa"/>
            <w:tcBorders>
              <w:top w:val="single" w:color="000000" w:sz="2" w:space="0"/>
              <w:bottom w:val="single" w:color="000000" w:sz="2" w:space="0"/>
            </w:tcBorders>
          </w:tcPr>
          <w:p w14:paraId="454DBA4C">
            <w:pPr>
              <w:spacing w:before="57" w:line="219" w:lineRule="auto"/>
              <w:ind w:left="116"/>
              <w:rPr>
                <w:rFonts w:hint="default" w:ascii="Times New Roman" w:hAnsi="Times New Roman" w:eastAsia="仿宋_GB2312" w:cs="Times New Roman"/>
                <w:szCs w:val="21"/>
              </w:rPr>
            </w:pPr>
            <w:r>
              <w:rPr>
                <w:rFonts w:hint="default" w:ascii="Times New Roman" w:hAnsi="Times New Roman" w:eastAsia="仿宋_GB2312" w:cs="Times New Roman"/>
                <w:spacing w:val="-7"/>
                <w:szCs w:val="21"/>
              </w:rPr>
              <w:t>具</w:t>
            </w:r>
            <w:r>
              <w:rPr>
                <w:rFonts w:hint="default" w:ascii="Times New Roman" w:hAnsi="Times New Roman" w:eastAsia="仿宋_GB2312" w:cs="Times New Roman"/>
                <w:spacing w:val="-5"/>
                <w:szCs w:val="21"/>
              </w:rPr>
              <w:t>体问题描述：</w:t>
            </w:r>
          </w:p>
        </w:tc>
        <w:tc>
          <w:tcPr>
            <w:tcW w:w="2095" w:type="dxa"/>
            <w:tcBorders>
              <w:top w:val="single" w:color="000000" w:sz="2" w:space="0"/>
              <w:bottom w:val="single" w:color="000000" w:sz="2" w:space="0"/>
            </w:tcBorders>
          </w:tcPr>
          <w:p w14:paraId="72B49C1D">
            <w:pPr>
              <w:spacing w:before="57" w:line="218" w:lineRule="auto"/>
              <w:ind w:left="119"/>
              <w:rPr>
                <w:rFonts w:hint="default" w:ascii="Times New Roman" w:hAnsi="Times New Roman" w:eastAsia="仿宋_GB2312" w:cs="Times New Roman"/>
                <w:szCs w:val="21"/>
              </w:rPr>
            </w:pPr>
            <w:r>
              <w:rPr>
                <w:rFonts w:hint="default" w:ascii="Times New Roman" w:hAnsi="Times New Roman" w:eastAsia="仿宋_GB2312" w:cs="Times New Roman"/>
                <w:spacing w:val="-9"/>
                <w:szCs w:val="21"/>
              </w:rPr>
              <w:t>具</w:t>
            </w:r>
            <w:r>
              <w:rPr>
                <w:rFonts w:hint="default" w:ascii="Times New Roman" w:hAnsi="Times New Roman" w:eastAsia="仿宋_GB2312" w:cs="Times New Roman"/>
                <w:spacing w:val="-7"/>
                <w:szCs w:val="21"/>
              </w:rPr>
              <w:t>体位置：</w:t>
            </w:r>
          </w:p>
        </w:tc>
        <w:tc>
          <w:tcPr>
            <w:tcW w:w="2252" w:type="dxa"/>
            <w:gridSpan w:val="2"/>
            <w:tcBorders>
              <w:top w:val="single" w:color="000000" w:sz="2" w:space="0"/>
              <w:bottom w:val="single" w:color="000000" w:sz="2" w:space="0"/>
            </w:tcBorders>
          </w:tcPr>
          <w:p w14:paraId="28A0DA54">
            <w:pPr>
              <w:spacing w:before="57" w:line="220" w:lineRule="auto"/>
              <w:ind w:left="123"/>
              <w:rPr>
                <w:rFonts w:hint="default" w:ascii="Times New Roman" w:hAnsi="Times New Roman" w:eastAsia="仿宋_GB2312" w:cs="Times New Roman"/>
                <w:szCs w:val="21"/>
              </w:rPr>
            </w:pPr>
            <w:r>
              <w:rPr>
                <w:rFonts w:hint="default" w:ascii="Times New Roman" w:hAnsi="Times New Roman" w:eastAsia="仿宋_GB2312" w:cs="Times New Roman"/>
                <w:spacing w:val="-15"/>
                <w:szCs w:val="21"/>
              </w:rPr>
              <w:t>照</w:t>
            </w:r>
            <w:r>
              <w:rPr>
                <w:rFonts w:hint="default" w:ascii="Times New Roman" w:hAnsi="Times New Roman" w:eastAsia="仿宋_GB2312" w:cs="Times New Roman"/>
                <w:spacing w:val="-14"/>
                <w:szCs w:val="21"/>
              </w:rPr>
              <w:t>片：</w:t>
            </w:r>
          </w:p>
        </w:tc>
      </w:tr>
      <w:tr w14:paraId="219E0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jc w:val="center"/>
        </w:trPr>
        <w:tc>
          <w:tcPr>
            <w:tcW w:w="1639" w:type="dxa"/>
            <w:tcBorders>
              <w:top w:val="single" w:color="000000" w:sz="2" w:space="0"/>
              <w:bottom w:val="single" w:color="000000" w:sz="2" w:space="0"/>
            </w:tcBorders>
          </w:tcPr>
          <w:p w14:paraId="783B8590">
            <w:pPr>
              <w:spacing w:before="56" w:line="287" w:lineRule="auto"/>
              <w:ind w:left="124" w:right="261" w:hanging="9"/>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2.7 入户水质</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4"/>
                <w:szCs w:val="21"/>
              </w:rPr>
              <w:t>不达</w:t>
            </w:r>
            <w:r>
              <w:rPr>
                <w:rFonts w:hint="default" w:ascii="Times New Roman" w:hAnsi="Times New Roman" w:eastAsia="仿宋_GB2312" w:cs="Times New Roman"/>
                <w:spacing w:val="-3"/>
                <w:szCs w:val="21"/>
              </w:rPr>
              <w:t>标</w:t>
            </w:r>
            <w:r>
              <w:rPr>
                <w:rFonts w:hint="default" w:ascii="Times New Roman" w:hAnsi="Times New Roman" w:eastAsia="仿宋_GB2312" w:cs="Times New Roman"/>
                <w:spacing w:val="-2"/>
                <w:szCs w:val="21"/>
              </w:rPr>
              <w:t>的问题</w:t>
            </w:r>
          </w:p>
        </w:tc>
        <w:tc>
          <w:tcPr>
            <w:tcW w:w="3156" w:type="dxa"/>
            <w:tcBorders>
              <w:top w:val="single" w:color="000000" w:sz="2" w:space="0"/>
              <w:bottom w:val="single" w:color="000000" w:sz="2" w:space="0"/>
            </w:tcBorders>
          </w:tcPr>
          <w:p w14:paraId="53D42259">
            <w:pPr>
              <w:spacing w:before="57" w:line="219" w:lineRule="auto"/>
              <w:ind w:left="116"/>
              <w:rPr>
                <w:rFonts w:hint="default" w:ascii="Times New Roman" w:hAnsi="Times New Roman" w:eastAsia="仿宋_GB2312" w:cs="Times New Roman"/>
                <w:szCs w:val="21"/>
              </w:rPr>
            </w:pPr>
            <w:r>
              <w:rPr>
                <w:rFonts w:hint="default" w:ascii="Times New Roman" w:hAnsi="Times New Roman" w:eastAsia="仿宋_GB2312" w:cs="Times New Roman"/>
                <w:spacing w:val="-7"/>
                <w:szCs w:val="21"/>
              </w:rPr>
              <w:t>具</w:t>
            </w:r>
            <w:r>
              <w:rPr>
                <w:rFonts w:hint="default" w:ascii="Times New Roman" w:hAnsi="Times New Roman" w:eastAsia="仿宋_GB2312" w:cs="Times New Roman"/>
                <w:spacing w:val="-5"/>
                <w:szCs w:val="21"/>
              </w:rPr>
              <w:t>体问题描述：</w:t>
            </w:r>
          </w:p>
        </w:tc>
        <w:tc>
          <w:tcPr>
            <w:tcW w:w="2095" w:type="dxa"/>
            <w:tcBorders>
              <w:top w:val="single" w:color="000000" w:sz="2" w:space="0"/>
              <w:bottom w:val="single" w:color="000000" w:sz="2" w:space="0"/>
            </w:tcBorders>
          </w:tcPr>
          <w:p w14:paraId="5DA35DD2">
            <w:pPr>
              <w:spacing w:before="58" w:line="218" w:lineRule="auto"/>
              <w:ind w:left="119"/>
              <w:rPr>
                <w:rFonts w:hint="default" w:ascii="Times New Roman" w:hAnsi="Times New Roman" w:eastAsia="仿宋_GB2312" w:cs="Times New Roman"/>
                <w:szCs w:val="21"/>
              </w:rPr>
            </w:pPr>
            <w:r>
              <w:rPr>
                <w:rFonts w:hint="default" w:ascii="Times New Roman" w:hAnsi="Times New Roman" w:eastAsia="仿宋_GB2312" w:cs="Times New Roman"/>
                <w:spacing w:val="-9"/>
                <w:szCs w:val="21"/>
              </w:rPr>
              <w:t>具</w:t>
            </w:r>
            <w:r>
              <w:rPr>
                <w:rFonts w:hint="default" w:ascii="Times New Roman" w:hAnsi="Times New Roman" w:eastAsia="仿宋_GB2312" w:cs="Times New Roman"/>
                <w:spacing w:val="-7"/>
                <w:szCs w:val="21"/>
              </w:rPr>
              <w:t>体位置：</w:t>
            </w:r>
          </w:p>
        </w:tc>
        <w:tc>
          <w:tcPr>
            <w:tcW w:w="2252" w:type="dxa"/>
            <w:gridSpan w:val="2"/>
            <w:tcBorders>
              <w:top w:val="single" w:color="000000" w:sz="2" w:space="0"/>
              <w:bottom w:val="single" w:color="000000" w:sz="2" w:space="0"/>
            </w:tcBorders>
          </w:tcPr>
          <w:p w14:paraId="1D5305D2">
            <w:pPr>
              <w:spacing w:before="57" w:line="220" w:lineRule="auto"/>
              <w:ind w:left="123"/>
              <w:rPr>
                <w:rFonts w:hint="default" w:ascii="Times New Roman" w:hAnsi="Times New Roman" w:eastAsia="仿宋_GB2312" w:cs="Times New Roman"/>
                <w:szCs w:val="21"/>
              </w:rPr>
            </w:pPr>
            <w:r>
              <w:rPr>
                <w:rFonts w:hint="default" w:ascii="Times New Roman" w:hAnsi="Times New Roman" w:eastAsia="仿宋_GB2312" w:cs="Times New Roman"/>
                <w:spacing w:val="-15"/>
                <w:szCs w:val="21"/>
              </w:rPr>
              <w:t>照</w:t>
            </w:r>
            <w:r>
              <w:rPr>
                <w:rFonts w:hint="default" w:ascii="Times New Roman" w:hAnsi="Times New Roman" w:eastAsia="仿宋_GB2312" w:cs="Times New Roman"/>
                <w:spacing w:val="-14"/>
                <w:szCs w:val="21"/>
              </w:rPr>
              <w:t>片：</w:t>
            </w:r>
          </w:p>
        </w:tc>
      </w:tr>
      <w:tr w14:paraId="6CBCA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6" w:hRule="atLeast"/>
          <w:jc w:val="center"/>
        </w:trPr>
        <w:tc>
          <w:tcPr>
            <w:tcW w:w="1639" w:type="dxa"/>
            <w:tcBorders>
              <w:top w:val="single" w:color="000000" w:sz="2" w:space="0"/>
              <w:bottom w:val="single" w:color="000000" w:sz="2" w:space="0"/>
            </w:tcBorders>
          </w:tcPr>
          <w:p w14:paraId="2B094D63">
            <w:pPr>
              <w:spacing w:before="58" w:line="287" w:lineRule="auto"/>
              <w:ind w:left="118" w:right="262" w:hanging="3"/>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2.8 适老化改</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4"/>
                <w:szCs w:val="21"/>
              </w:rPr>
              <w:t>造</w:t>
            </w:r>
            <w:r>
              <w:rPr>
                <w:rFonts w:hint="default" w:ascii="Times New Roman" w:hAnsi="Times New Roman" w:eastAsia="仿宋_GB2312" w:cs="Times New Roman"/>
                <w:spacing w:val="-3"/>
                <w:szCs w:val="21"/>
              </w:rPr>
              <w:t>问题</w:t>
            </w:r>
          </w:p>
        </w:tc>
        <w:tc>
          <w:tcPr>
            <w:tcW w:w="3156" w:type="dxa"/>
            <w:tcBorders>
              <w:top w:val="single" w:color="000000" w:sz="2" w:space="0"/>
              <w:bottom w:val="single" w:color="000000" w:sz="2" w:space="0"/>
            </w:tcBorders>
          </w:tcPr>
          <w:p w14:paraId="111345ED">
            <w:pPr>
              <w:spacing w:before="58" w:line="219" w:lineRule="auto"/>
              <w:ind w:left="116"/>
              <w:rPr>
                <w:rFonts w:hint="default" w:ascii="Times New Roman" w:hAnsi="Times New Roman" w:eastAsia="仿宋_GB2312" w:cs="Times New Roman"/>
                <w:szCs w:val="21"/>
              </w:rPr>
            </w:pPr>
            <w:r>
              <w:rPr>
                <w:rFonts w:hint="default" w:ascii="Times New Roman" w:hAnsi="Times New Roman" w:eastAsia="仿宋_GB2312" w:cs="Times New Roman"/>
                <w:spacing w:val="-7"/>
                <w:szCs w:val="21"/>
              </w:rPr>
              <w:t>具</w:t>
            </w:r>
            <w:r>
              <w:rPr>
                <w:rFonts w:hint="default" w:ascii="Times New Roman" w:hAnsi="Times New Roman" w:eastAsia="仿宋_GB2312" w:cs="Times New Roman"/>
                <w:spacing w:val="-5"/>
                <w:szCs w:val="21"/>
              </w:rPr>
              <w:t>体问题描述：</w:t>
            </w:r>
          </w:p>
        </w:tc>
        <w:tc>
          <w:tcPr>
            <w:tcW w:w="2095" w:type="dxa"/>
            <w:tcBorders>
              <w:top w:val="single" w:color="000000" w:sz="2" w:space="0"/>
              <w:bottom w:val="single" w:color="000000" w:sz="2" w:space="0"/>
            </w:tcBorders>
          </w:tcPr>
          <w:p w14:paraId="7F84A60D">
            <w:pPr>
              <w:spacing w:before="58" w:line="218" w:lineRule="auto"/>
              <w:ind w:left="119"/>
              <w:rPr>
                <w:rFonts w:hint="default" w:ascii="Times New Roman" w:hAnsi="Times New Roman" w:eastAsia="仿宋_GB2312" w:cs="Times New Roman"/>
                <w:szCs w:val="21"/>
              </w:rPr>
            </w:pPr>
            <w:r>
              <w:rPr>
                <w:rFonts w:hint="default" w:ascii="Times New Roman" w:hAnsi="Times New Roman" w:eastAsia="仿宋_GB2312" w:cs="Times New Roman"/>
                <w:spacing w:val="-9"/>
                <w:szCs w:val="21"/>
              </w:rPr>
              <w:t>具</w:t>
            </w:r>
            <w:r>
              <w:rPr>
                <w:rFonts w:hint="default" w:ascii="Times New Roman" w:hAnsi="Times New Roman" w:eastAsia="仿宋_GB2312" w:cs="Times New Roman"/>
                <w:spacing w:val="-7"/>
                <w:szCs w:val="21"/>
              </w:rPr>
              <w:t>体位置：</w:t>
            </w:r>
          </w:p>
        </w:tc>
        <w:tc>
          <w:tcPr>
            <w:tcW w:w="2252" w:type="dxa"/>
            <w:gridSpan w:val="2"/>
            <w:tcBorders>
              <w:top w:val="single" w:color="000000" w:sz="2" w:space="0"/>
              <w:bottom w:val="single" w:color="000000" w:sz="2" w:space="0"/>
            </w:tcBorders>
          </w:tcPr>
          <w:p w14:paraId="33C2B79D">
            <w:pPr>
              <w:spacing w:before="58" w:line="220" w:lineRule="auto"/>
              <w:ind w:left="123"/>
              <w:rPr>
                <w:rFonts w:hint="default" w:ascii="Times New Roman" w:hAnsi="Times New Roman" w:eastAsia="仿宋_GB2312" w:cs="Times New Roman"/>
                <w:szCs w:val="21"/>
              </w:rPr>
            </w:pPr>
            <w:r>
              <w:rPr>
                <w:rFonts w:hint="default" w:ascii="Times New Roman" w:hAnsi="Times New Roman" w:eastAsia="仿宋_GB2312" w:cs="Times New Roman"/>
                <w:spacing w:val="-15"/>
                <w:szCs w:val="21"/>
              </w:rPr>
              <w:t>照</w:t>
            </w:r>
            <w:r>
              <w:rPr>
                <w:rFonts w:hint="default" w:ascii="Times New Roman" w:hAnsi="Times New Roman" w:eastAsia="仿宋_GB2312" w:cs="Times New Roman"/>
                <w:spacing w:val="-14"/>
                <w:szCs w:val="21"/>
              </w:rPr>
              <w:t>片：</w:t>
            </w:r>
          </w:p>
        </w:tc>
      </w:tr>
      <w:tr w14:paraId="1BE95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7" w:hRule="atLeast"/>
          <w:jc w:val="center"/>
        </w:trPr>
        <w:tc>
          <w:tcPr>
            <w:tcW w:w="1639" w:type="dxa"/>
            <w:tcBorders>
              <w:top w:val="single" w:color="000000" w:sz="2" w:space="0"/>
              <w:bottom w:val="single" w:color="000000" w:sz="2" w:space="0"/>
            </w:tcBorders>
          </w:tcPr>
          <w:p w14:paraId="258479F7">
            <w:pPr>
              <w:spacing w:before="59" w:line="287" w:lineRule="auto"/>
              <w:ind w:left="139" w:right="262" w:hanging="24"/>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2.9 节能改造</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pacing w:val="-9"/>
                <w:szCs w:val="21"/>
              </w:rPr>
              <w:t>问</w:t>
            </w:r>
            <w:r>
              <w:rPr>
                <w:rFonts w:hint="default" w:ascii="Times New Roman" w:hAnsi="Times New Roman" w:eastAsia="仿宋_GB2312" w:cs="Times New Roman"/>
                <w:spacing w:val="-8"/>
                <w:szCs w:val="21"/>
              </w:rPr>
              <w:t>题</w:t>
            </w:r>
          </w:p>
        </w:tc>
        <w:tc>
          <w:tcPr>
            <w:tcW w:w="3156" w:type="dxa"/>
            <w:tcBorders>
              <w:top w:val="single" w:color="000000" w:sz="2" w:space="0"/>
              <w:bottom w:val="single" w:color="000000" w:sz="2" w:space="0"/>
            </w:tcBorders>
          </w:tcPr>
          <w:p w14:paraId="573BD5C2">
            <w:pPr>
              <w:spacing w:before="60" w:line="219" w:lineRule="auto"/>
              <w:ind w:left="116"/>
              <w:rPr>
                <w:rFonts w:hint="default" w:ascii="Times New Roman" w:hAnsi="Times New Roman" w:eastAsia="仿宋_GB2312" w:cs="Times New Roman"/>
                <w:szCs w:val="21"/>
              </w:rPr>
            </w:pPr>
            <w:r>
              <w:rPr>
                <w:rFonts w:hint="default" w:ascii="Times New Roman" w:hAnsi="Times New Roman" w:eastAsia="仿宋_GB2312" w:cs="Times New Roman"/>
                <w:spacing w:val="-7"/>
                <w:szCs w:val="21"/>
              </w:rPr>
              <w:t>具</w:t>
            </w:r>
            <w:r>
              <w:rPr>
                <w:rFonts w:hint="default" w:ascii="Times New Roman" w:hAnsi="Times New Roman" w:eastAsia="仿宋_GB2312" w:cs="Times New Roman"/>
                <w:spacing w:val="-5"/>
                <w:szCs w:val="21"/>
              </w:rPr>
              <w:t>体问题描述：</w:t>
            </w:r>
          </w:p>
        </w:tc>
        <w:tc>
          <w:tcPr>
            <w:tcW w:w="2095" w:type="dxa"/>
            <w:tcBorders>
              <w:top w:val="single" w:color="000000" w:sz="2" w:space="0"/>
              <w:bottom w:val="single" w:color="000000" w:sz="2" w:space="0"/>
            </w:tcBorders>
          </w:tcPr>
          <w:p w14:paraId="10335BBC">
            <w:pPr>
              <w:spacing w:before="61" w:line="218" w:lineRule="auto"/>
              <w:ind w:left="119"/>
              <w:rPr>
                <w:rFonts w:hint="default" w:ascii="Times New Roman" w:hAnsi="Times New Roman" w:eastAsia="仿宋_GB2312" w:cs="Times New Roman"/>
                <w:szCs w:val="21"/>
              </w:rPr>
            </w:pPr>
            <w:r>
              <w:rPr>
                <w:rFonts w:hint="default" w:ascii="Times New Roman" w:hAnsi="Times New Roman" w:eastAsia="仿宋_GB2312" w:cs="Times New Roman"/>
                <w:spacing w:val="-9"/>
                <w:szCs w:val="21"/>
              </w:rPr>
              <w:t>具</w:t>
            </w:r>
            <w:r>
              <w:rPr>
                <w:rFonts w:hint="default" w:ascii="Times New Roman" w:hAnsi="Times New Roman" w:eastAsia="仿宋_GB2312" w:cs="Times New Roman"/>
                <w:spacing w:val="-7"/>
                <w:szCs w:val="21"/>
              </w:rPr>
              <w:t>体位置：</w:t>
            </w:r>
          </w:p>
        </w:tc>
        <w:tc>
          <w:tcPr>
            <w:tcW w:w="2252" w:type="dxa"/>
            <w:gridSpan w:val="2"/>
            <w:tcBorders>
              <w:top w:val="single" w:color="000000" w:sz="2" w:space="0"/>
              <w:bottom w:val="single" w:color="000000" w:sz="2" w:space="0"/>
            </w:tcBorders>
          </w:tcPr>
          <w:p w14:paraId="01AFE25E">
            <w:pPr>
              <w:spacing w:before="60" w:line="220" w:lineRule="auto"/>
              <w:ind w:left="123"/>
              <w:rPr>
                <w:rFonts w:hint="default" w:ascii="Times New Roman" w:hAnsi="Times New Roman" w:eastAsia="仿宋_GB2312" w:cs="Times New Roman"/>
                <w:szCs w:val="21"/>
              </w:rPr>
            </w:pPr>
            <w:r>
              <w:rPr>
                <w:rFonts w:hint="default" w:ascii="Times New Roman" w:hAnsi="Times New Roman" w:eastAsia="仿宋_GB2312" w:cs="Times New Roman"/>
                <w:spacing w:val="-15"/>
                <w:szCs w:val="21"/>
              </w:rPr>
              <w:t>照</w:t>
            </w:r>
            <w:r>
              <w:rPr>
                <w:rFonts w:hint="default" w:ascii="Times New Roman" w:hAnsi="Times New Roman" w:eastAsia="仿宋_GB2312" w:cs="Times New Roman"/>
                <w:spacing w:val="-14"/>
                <w:szCs w:val="21"/>
              </w:rPr>
              <w:t>片：</w:t>
            </w:r>
          </w:p>
        </w:tc>
      </w:tr>
      <w:tr w14:paraId="31B5C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jc w:val="center"/>
        </w:trPr>
        <w:tc>
          <w:tcPr>
            <w:tcW w:w="1639" w:type="dxa"/>
            <w:tcBorders>
              <w:top w:val="single" w:color="000000" w:sz="2" w:space="0"/>
              <w:bottom w:val="single" w:color="000000" w:sz="2" w:space="0"/>
            </w:tcBorders>
          </w:tcPr>
          <w:p w14:paraId="3D2796CC">
            <w:pPr>
              <w:spacing w:before="58" w:line="287" w:lineRule="auto"/>
              <w:ind w:left="118" w:right="156" w:hanging="3"/>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2.10 数字</w:t>
            </w:r>
            <w:r>
              <w:rPr>
                <w:rFonts w:hint="default" w:ascii="Times New Roman" w:hAnsi="Times New Roman" w:eastAsia="仿宋_GB2312" w:cs="Times New Roman"/>
                <w:szCs w:val="21"/>
              </w:rPr>
              <w:t xml:space="preserve">化改 </w:t>
            </w:r>
            <w:r>
              <w:rPr>
                <w:rFonts w:hint="default" w:ascii="Times New Roman" w:hAnsi="Times New Roman" w:eastAsia="仿宋_GB2312" w:cs="Times New Roman"/>
                <w:spacing w:val="-3"/>
                <w:szCs w:val="21"/>
              </w:rPr>
              <w:t>造</w:t>
            </w:r>
            <w:r>
              <w:rPr>
                <w:rFonts w:hint="default" w:ascii="Times New Roman" w:hAnsi="Times New Roman" w:eastAsia="仿宋_GB2312" w:cs="Times New Roman"/>
                <w:spacing w:val="-2"/>
                <w:szCs w:val="21"/>
              </w:rPr>
              <w:t>问题</w:t>
            </w:r>
          </w:p>
        </w:tc>
        <w:tc>
          <w:tcPr>
            <w:tcW w:w="3156" w:type="dxa"/>
            <w:tcBorders>
              <w:top w:val="single" w:color="000000" w:sz="2" w:space="0"/>
              <w:bottom w:val="single" w:color="000000" w:sz="2" w:space="0"/>
            </w:tcBorders>
          </w:tcPr>
          <w:p w14:paraId="142287C7">
            <w:pPr>
              <w:spacing w:before="59" w:line="219" w:lineRule="auto"/>
              <w:ind w:left="116"/>
              <w:rPr>
                <w:rFonts w:hint="default" w:ascii="Times New Roman" w:hAnsi="Times New Roman" w:eastAsia="仿宋_GB2312" w:cs="Times New Roman"/>
                <w:szCs w:val="21"/>
              </w:rPr>
            </w:pPr>
            <w:r>
              <w:rPr>
                <w:rFonts w:hint="default" w:ascii="Times New Roman" w:hAnsi="Times New Roman" w:eastAsia="仿宋_GB2312" w:cs="Times New Roman"/>
                <w:spacing w:val="-7"/>
                <w:szCs w:val="21"/>
              </w:rPr>
              <w:t>具</w:t>
            </w:r>
            <w:r>
              <w:rPr>
                <w:rFonts w:hint="default" w:ascii="Times New Roman" w:hAnsi="Times New Roman" w:eastAsia="仿宋_GB2312" w:cs="Times New Roman"/>
                <w:spacing w:val="-5"/>
                <w:szCs w:val="21"/>
              </w:rPr>
              <w:t>体问题描述：</w:t>
            </w:r>
          </w:p>
        </w:tc>
        <w:tc>
          <w:tcPr>
            <w:tcW w:w="2095" w:type="dxa"/>
            <w:tcBorders>
              <w:top w:val="single" w:color="000000" w:sz="2" w:space="0"/>
              <w:bottom w:val="single" w:color="000000" w:sz="2" w:space="0"/>
            </w:tcBorders>
          </w:tcPr>
          <w:p w14:paraId="11A4FCCE">
            <w:pPr>
              <w:spacing w:before="59" w:line="218" w:lineRule="auto"/>
              <w:ind w:left="119"/>
              <w:rPr>
                <w:rFonts w:hint="default" w:ascii="Times New Roman" w:hAnsi="Times New Roman" w:eastAsia="仿宋_GB2312" w:cs="Times New Roman"/>
                <w:szCs w:val="21"/>
              </w:rPr>
            </w:pPr>
            <w:r>
              <w:rPr>
                <w:rFonts w:hint="default" w:ascii="Times New Roman" w:hAnsi="Times New Roman" w:eastAsia="仿宋_GB2312" w:cs="Times New Roman"/>
                <w:spacing w:val="-9"/>
                <w:szCs w:val="21"/>
              </w:rPr>
              <w:t>具</w:t>
            </w:r>
            <w:r>
              <w:rPr>
                <w:rFonts w:hint="default" w:ascii="Times New Roman" w:hAnsi="Times New Roman" w:eastAsia="仿宋_GB2312" w:cs="Times New Roman"/>
                <w:spacing w:val="-7"/>
                <w:szCs w:val="21"/>
              </w:rPr>
              <w:t>体位置：</w:t>
            </w:r>
          </w:p>
        </w:tc>
        <w:tc>
          <w:tcPr>
            <w:tcW w:w="2252" w:type="dxa"/>
            <w:gridSpan w:val="2"/>
            <w:tcBorders>
              <w:top w:val="single" w:color="000000" w:sz="2" w:space="0"/>
              <w:bottom w:val="single" w:color="000000" w:sz="2" w:space="0"/>
            </w:tcBorders>
          </w:tcPr>
          <w:p w14:paraId="3CA0B1B4">
            <w:pPr>
              <w:spacing w:before="58" w:line="220" w:lineRule="auto"/>
              <w:ind w:left="123"/>
              <w:rPr>
                <w:rFonts w:hint="default" w:ascii="Times New Roman" w:hAnsi="Times New Roman" w:eastAsia="仿宋_GB2312" w:cs="Times New Roman"/>
                <w:szCs w:val="21"/>
              </w:rPr>
            </w:pPr>
            <w:r>
              <w:rPr>
                <w:rFonts w:hint="default" w:ascii="Times New Roman" w:hAnsi="Times New Roman" w:eastAsia="仿宋_GB2312" w:cs="Times New Roman"/>
                <w:spacing w:val="-15"/>
                <w:szCs w:val="21"/>
              </w:rPr>
              <w:t>照</w:t>
            </w:r>
            <w:r>
              <w:rPr>
                <w:rFonts w:hint="default" w:ascii="Times New Roman" w:hAnsi="Times New Roman" w:eastAsia="仿宋_GB2312" w:cs="Times New Roman"/>
                <w:spacing w:val="-14"/>
                <w:szCs w:val="21"/>
              </w:rPr>
              <w:t>片：</w:t>
            </w:r>
          </w:p>
        </w:tc>
      </w:tr>
    </w:tbl>
    <w:p w14:paraId="14F1754D">
      <w:pPr>
        <w:pStyle w:val="2"/>
        <w:rPr>
          <w:rFonts w:hint="default" w:ascii="Times New Roman" w:hAnsi="Times New Roman" w:cs="Times New Roman"/>
        </w:rPr>
      </w:pPr>
    </w:p>
    <w:p w14:paraId="342FA846">
      <w:pPr>
        <w:pStyle w:val="2"/>
        <w:rPr>
          <w:rFonts w:hint="default" w:ascii="Times New Roman" w:hAnsi="Times New Roman" w:cs="Times New Roman"/>
        </w:rPr>
      </w:pPr>
    </w:p>
    <w:p w14:paraId="2702C85C">
      <w:pPr>
        <w:spacing w:before="248" w:line="199" w:lineRule="auto"/>
        <w:ind w:left="2868"/>
        <w:rPr>
          <w:rFonts w:hint="default" w:ascii="Times New Roman" w:hAnsi="Times New Roman" w:eastAsia="微软雅黑" w:cs="Times New Roman"/>
          <w:spacing w:val="13"/>
          <w:sz w:val="31"/>
          <w:szCs w:val="31"/>
        </w:rPr>
      </w:pPr>
      <w:r>
        <w:rPr>
          <w:rFonts w:hint="default" w:ascii="Times New Roman" w:hAnsi="Times New Roman" w:eastAsia="微软雅黑" w:cs="Times New Roman"/>
          <w:spacing w:val="13"/>
          <w:sz w:val="31"/>
          <w:szCs w:val="31"/>
        </w:rPr>
        <w:br w:type="page"/>
      </w:r>
    </w:p>
    <w:tbl>
      <w:tblPr>
        <w:tblStyle w:val="57"/>
        <w:tblW w:w="989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8"/>
        <w:gridCol w:w="1134"/>
        <w:gridCol w:w="424"/>
        <w:gridCol w:w="1277"/>
        <w:gridCol w:w="2152"/>
        <w:gridCol w:w="1926"/>
        <w:gridCol w:w="2445"/>
      </w:tblGrid>
      <w:tr w14:paraId="3761E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jc w:val="center"/>
        </w:trPr>
        <w:tc>
          <w:tcPr>
            <w:tcW w:w="9896" w:type="dxa"/>
            <w:gridSpan w:val="7"/>
            <w:vAlign w:val="center"/>
          </w:tcPr>
          <w:p w14:paraId="6FB87668">
            <w:pPr>
              <w:keepNext w:val="0"/>
              <w:keepLines w:val="0"/>
              <w:pageBreakBefore w:val="0"/>
              <w:widowControl w:val="0"/>
              <w:kinsoku/>
              <w:wordWrap/>
              <w:overflowPunct/>
              <w:topLinePunct w:val="0"/>
              <w:autoSpaceDE/>
              <w:autoSpaceDN/>
              <w:bidi w:val="0"/>
              <w:adjustRightInd/>
              <w:snapToGrid/>
              <w:spacing w:line="500" w:lineRule="exact"/>
              <w:ind w:left="0"/>
              <w:jc w:val="center"/>
              <w:textAlignment w:val="auto"/>
              <w:rPr>
                <w:rFonts w:hint="default" w:ascii="Times New Roman" w:hAnsi="Times New Roman" w:eastAsia="微软雅黑" w:cs="Times New Roman"/>
                <w:sz w:val="31"/>
                <w:szCs w:val="31"/>
              </w:rPr>
            </w:pPr>
            <w:r>
              <w:rPr>
                <w:rFonts w:hint="default" w:ascii="Times New Roman" w:hAnsi="Times New Roman" w:eastAsia="黑体" w:cs="Times New Roman"/>
                <w:b w:val="0"/>
                <w:bCs w:val="0"/>
                <w:spacing w:val="15"/>
                <w:sz w:val="32"/>
                <w:szCs w:val="32"/>
              </w:rPr>
              <w:t>社区维度城市体检指标调研表</w:t>
            </w:r>
          </w:p>
        </w:tc>
      </w:tr>
      <w:tr w14:paraId="1CCE64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jc w:val="center"/>
        </w:trPr>
        <w:tc>
          <w:tcPr>
            <w:tcW w:w="9896" w:type="dxa"/>
            <w:gridSpan w:val="7"/>
          </w:tcPr>
          <w:p w14:paraId="51C83A10">
            <w:pPr>
              <w:spacing w:before="243" w:line="217" w:lineRule="auto"/>
              <w:ind w:left="3886"/>
              <w:rPr>
                <w:rFonts w:hint="default" w:ascii="Times New Roman" w:hAnsi="Times New Roman" w:eastAsia="仿宋_GB2312" w:cs="Times New Roman"/>
                <w:sz w:val="24"/>
                <w:szCs w:val="24"/>
              </w:rPr>
            </w:pPr>
            <w:r>
              <w:rPr>
                <w:rFonts w:hint="default" w:ascii="Times New Roman" w:hAnsi="Times New Roman" w:eastAsia="仿宋_GB2312" w:cs="Times New Roman"/>
                <w:b/>
                <w:bCs/>
                <w:spacing w:val="-2"/>
                <w:sz w:val="24"/>
                <w:szCs w:val="24"/>
              </w:rPr>
              <w:t>第一部分：基本信息</w:t>
            </w:r>
          </w:p>
        </w:tc>
      </w:tr>
      <w:tr w14:paraId="20FB8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38" w:type="dxa"/>
            <w:vMerge w:val="restart"/>
            <w:tcBorders>
              <w:bottom w:val="nil"/>
            </w:tcBorders>
            <w:textDirection w:val="tbRlV"/>
          </w:tcPr>
          <w:p w14:paraId="1540CAF1">
            <w:pPr>
              <w:spacing w:before="145" w:line="209" w:lineRule="auto"/>
              <w:ind w:left="157"/>
              <w:rPr>
                <w:rFonts w:hint="default" w:ascii="Times New Roman" w:hAnsi="Times New Roman" w:eastAsia="仿宋_GB2312" w:cs="Times New Roman"/>
                <w:sz w:val="24"/>
                <w:szCs w:val="24"/>
              </w:rPr>
            </w:pPr>
            <w:r>
              <w:rPr>
                <w:rFonts w:hint="default" w:ascii="Times New Roman" w:hAnsi="Times New Roman" w:eastAsia="黑体" w:cs="Times New Roman"/>
                <w:spacing w:val="-21"/>
                <w:sz w:val="24"/>
                <w:szCs w:val="24"/>
              </w:rPr>
              <w:t>基 本 情 况</w:t>
            </w:r>
          </w:p>
        </w:tc>
        <w:tc>
          <w:tcPr>
            <w:tcW w:w="1558" w:type="dxa"/>
            <w:gridSpan w:val="2"/>
          </w:tcPr>
          <w:p w14:paraId="25BA8002">
            <w:pPr>
              <w:spacing w:before="141" w:line="226" w:lineRule="auto"/>
              <w:ind w:left="117"/>
              <w:rPr>
                <w:rFonts w:hint="default" w:ascii="Times New Roman" w:hAnsi="Times New Roman" w:eastAsia="仿宋_GB2312" w:cs="Times New Roman"/>
                <w:sz w:val="19"/>
                <w:szCs w:val="19"/>
              </w:rPr>
            </w:pPr>
            <w:r>
              <w:rPr>
                <w:rFonts w:hint="default" w:ascii="Times New Roman" w:hAnsi="Times New Roman" w:eastAsia="仿宋_GB2312" w:cs="Times New Roman"/>
                <w:spacing w:val="9"/>
                <w:sz w:val="19"/>
                <w:szCs w:val="19"/>
              </w:rPr>
              <w:t>行</w:t>
            </w:r>
            <w:r>
              <w:rPr>
                <w:rFonts w:hint="default" w:ascii="Times New Roman" w:hAnsi="Times New Roman" w:eastAsia="仿宋_GB2312" w:cs="Times New Roman"/>
                <w:spacing w:val="7"/>
                <w:sz w:val="19"/>
                <w:szCs w:val="19"/>
              </w:rPr>
              <w:t>政社区名称</w:t>
            </w:r>
          </w:p>
        </w:tc>
        <w:tc>
          <w:tcPr>
            <w:tcW w:w="7800" w:type="dxa"/>
            <w:gridSpan w:val="4"/>
          </w:tcPr>
          <w:p w14:paraId="4E489901">
            <w:pPr>
              <w:rPr>
                <w:rFonts w:hint="default" w:ascii="Times New Roman" w:hAnsi="Times New Roman" w:eastAsia="仿宋_GB2312" w:cs="Times New Roman"/>
              </w:rPr>
            </w:pPr>
          </w:p>
        </w:tc>
      </w:tr>
      <w:tr w14:paraId="511DCE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jc w:val="center"/>
        </w:trPr>
        <w:tc>
          <w:tcPr>
            <w:tcW w:w="538" w:type="dxa"/>
            <w:vMerge w:val="continue"/>
            <w:tcBorders>
              <w:top w:val="nil"/>
              <w:bottom w:val="nil"/>
            </w:tcBorders>
            <w:textDirection w:val="tbRlV"/>
          </w:tcPr>
          <w:p w14:paraId="492F69AB">
            <w:pPr>
              <w:rPr>
                <w:rFonts w:hint="default" w:ascii="Times New Roman" w:hAnsi="Times New Roman" w:eastAsia="仿宋_GB2312" w:cs="Times New Roman"/>
              </w:rPr>
            </w:pPr>
          </w:p>
        </w:tc>
        <w:tc>
          <w:tcPr>
            <w:tcW w:w="1558" w:type="dxa"/>
            <w:gridSpan w:val="2"/>
          </w:tcPr>
          <w:p w14:paraId="4CA81D54">
            <w:pPr>
              <w:spacing w:before="192" w:line="228" w:lineRule="auto"/>
              <w:ind w:left="116"/>
              <w:rPr>
                <w:rFonts w:hint="default" w:ascii="Times New Roman" w:hAnsi="Times New Roman" w:eastAsia="仿宋_GB2312" w:cs="Times New Roman"/>
                <w:sz w:val="19"/>
                <w:szCs w:val="19"/>
              </w:rPr>
            </w:pPr>
            <w:r>
              <w:rPr>
                <w:rFonts w:hint="default" w:ascii="Times New Roman" w:hAnsi="Times New Roman" w:eastAsia="仿宋_GB2312" w:cs="Times New Roman"/>
                <w:spacing w:val="7"/>
                <w:sz w:val="19"/>
                <w:szCs w:val="19"/>
              </w:rPr>
              <w:t>社</w:t>
            </w:r>
            <w:r>
              <w:rPr>
                <w:rFonts w:hint="default" w:ascii="Times New Roman" w:hAnsi="Times New Roman" w:eastAsia="仿宋_GB2312" w:cs="Times New Roman"/>
                <w:spacing w:val="6"/>
                <w:sz w:val="19"/>
                <w:szCs w:val="19"/>
              </w:rPr>
              <w:t>区面积</w:t>
            </w:r>
          </w:p>
        </w:tc>
        <w:tc>
          <w:tcPr>
            <w:tcW w:w="3429" w:type="dxa"/>
            <w:gridSpan w:val="2"/>
          </w:tcPr>
          <w:p w14:paraId="6C4C14C8">
            <w:pPr>
              <w:tabs>
                <w:tab w:val="left" w:pos="721"/>
              </w:tabs>
              <w:spacing w:before="193" w:line="228" w:lineRule="auto"/>
              <w:ind w:left="105"/>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u w:val="single"/>
              </w:rPr>
              <w:tab/>
            </w:r>
            <w:r>
              <w:rPr>
                <w:rFonts w:hint="default" w:ascii="Times New Roman" w:hAnsi="Times New Roman" w:eastAsia="仿宋_GB2312" w:cs="Times New Roman"/>
                <w:spacing w:val="2"/>
                <w:sz w:val="19"/>
                <w:szCs w:val="19"/>
              </w:rPr>
              <w:t>公顷</w:t>
            </w:r>
          </w:p>
        </w:tc>
        <w:tc>
          <w:tcPr>
            <w:tcW w:w="1926" w:type="dxa"/>
          </w:tcPr>
          <w:p w14:paraId="44385F63">
            <w:pPr>
              <w:spacing w:before="53" w:line="248" w:lineRule="auto"/>
              <w:ind w:left="117" w:right="216"/>
              <w:rPr>
                <w:rFonts w:hint="default" w:ascii="Times New Roman" w:hAnsi="Times New Roman" w:eastAsia="仿宋_GB2312" w:cs="Times New Roman"/>
                <w:sz w:val="19"/>
                <w:szCs w:val="19"/>
              </w:rPr>
            </w:pPr>
            <w:r>
              <w:rPr>
                <w:rFonts w:hint="default" w:ascii="Times New Roman" w:hAnsi="Times New Roman" w:eastAsia="仿宋_GB2312" w:cs="Times New Roman"/>
                <w:spacing w:val="11"/>
                <w:sz w:val="19"/>
                <w:szCs w:val="19"/>
              </w:rPr>
              <w:t>社</w:t>
            </w:r>
            <w:r>
              <w:rPr>
                <w:rFonts w:hint="default" w:ascii="Times New Roman" w:hAnsi="Times New Roman" w:eastAsia="仿宋_GB2312" w:cs="Times New Roman"/>
                <w:spacing w:val="8"/>
                <w:sz w:val="19"/>
                <w:szCs w:val="19"/>
              </w:rPr>
              <w:t>区管辖范围内的</w:t>
            </w:r>
            <w:r>
              <w:rPr>
                <w:rFonts w:hint="default" w:ascii="Times New Roman" w:hAnsi="Times New Roman" w:eastAsia="仿宋_GB2312" w:cs="Times New Roman"/>
                <w:sz w:val="19"/>
                <w:szCs w:val="19"/>
              </w:rPr>
              <w:t xml:space="preserve"> </w:t>
            </w:r>
            <w:r>
              <w:rPr>
                <w:rFonts w:hint="default" w:ascii="Times New Roman" w:hAnsi="Times New Roman" w:eastAsia="仿宋_GB2312" w:cs="Times New Roman"/>
                <w:spacing w:val="7"/>
                <w:sz w:val="19"/>
                <w:szCs w:val="19"/>
              </w:rPr>
              <w:t>小</w:t>
            </w:r>
            <w:r>
              <w:rPr>
                <w:rFonts w:hint="default" w:ascii="Times New Roman" w:hAnsi="Times New Roman" w:eastAsia="仿宋_GB2312" w:cs="Times New Roman"/>
                <w:spacing w:val="6"/>
                <w:sz w:val="19"/>
                <w:szCs w:val="19"/>
              </w:rPr>
              <w:t>区数量</w:t>
            </w:r>
          </w:p>
        </w:tc>
        <w:tc>
          <w:tcPr>
            <w:tcW w:w="2445" w:type="dxa"/>
          </w:tcPr>
          <w:p w14:paraId="0FA03D89">
            <w:pPr>
              <w:tabs>
                <w:tab w:val="left" w:pos="721"/>
              </w:tabs>
              <w:spacing w:before="192" w:line="228" w:lineRule="auto"/>
              <w:ind w:left="107"/>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u w:val="single"/>
              </w:rPr>
              <w:tab/>
            </w:r>
            <w:r>
              <w:rPr>
                <w:rFonts w:hint="default" w:ascii="Times New Roman" w:hAnsi="Times New Roman" w:eastAsia="仿宋_GB2312" w:cs="Times New Roman"/>
                <w:sz w:val="19"/>
                <w:szCs w:val="19"/>
              </w:rPr>
              <w:t>个</w:t>
            </w:r>
          </w:p>
        </w:tc>
      </w:tr>
      <w:tr w14:paraId="19E91B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jc w:val="center"/>
        </w:trPr>
        <w:tc>
          <w:tcPr>
            <w:tcW w:w="538" w:type="dxa"/>
            <w:vMerge w:val="continue"/>
            <w:tcBorders>
              <w:top w:val="nil"/>
            </w:tcBorders>
            <w:textDirection w:val="tbRlV"/>
          </w:tcPr>
          <w:p w14:paraId="0DAD600A">
            <w:pPr>
              <w:rPr>
                <w:rFonts w:hint="default" w:ascii="Times New Roman" w:hAnsi="Times New Roman" w:eastAsia="仿宋_GB2312" w:cs="Times New Roman"/>
              </w:rPr>
            </w:pPr>
          </w:p>
        </w:tc>
        <w:tc>
          <w:tcPr>
            <w:tcW w:w="1558" w:type="dxa"/>
            <w:gridSpan w:val="2"/>
          </w:tcPr>
          <w:p w14:paraId="5970467C">
            <w:pPr>
              <w:spacing w:before="142" w:line="227" w:lineRule="auto"/>
              <w:ind w:left="118"/>
              <w:rPr>
                <w:rFonts w:hint="default" w:ascii="Times New Roman" w:hAnsi="Times New Roman" w:eastAsia="仿宋_GB2312" w:cs="Times New Roman"/>
                <w:sz w:val="19"/>
                <w:szCs w:val="19"/>
              </w:rPr>
            </w:pPr>
            <w:r>
              <w:rPr>
                <w:rFonts w:hint="default" w:ascii="Times New Roman" w:hAnsi="Times New Roman" w:eastAsia="仿宋_GB2312" w:cs="Times New Roman"/>
                <w:spacing w:val="9"/>
                <w:sz w:val="19"/>
                <w:szCs w:val="19"/>
              </w:rPr>
              <w:t>覆</w:t>
            </w:r>
            <w:r>
              <w:rPr>
                <w:rFonts w:hint="default" w:ascii="Times New Roman" w:hAnsi="Times New Roman" w:eastAsia="仿宋_GB2312" w:cs="Times New Roman"/>
                <w:spacing w:val="7"/>
                <w:sz w:val="19"/>
                <w:szCs w:val="19"/>
              </w:rPr>
              <w:t>盖居民人数</w:t>
            </w:r>
          </w:p>
        </w:tc>
        <w:tc>
          <w:tcPr>
            <w:tcW w:w="3429" w:type="dxa"/>
            <w:gridSpan w:val="2"/>
          </w:tcPr>
          <w:p w14:paraId="1E2DC019">
            <w:pPr>
              <w:tabs>
                <w:tab w:val="left" w:pos="720"/>
              </w:tabs>
              <w:spacing w:before="142" w:line="231" w:lineRule="auto"/>
              <w:ind w:left="105"/>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u w:val="single"/>
              </w:rPr>
              <w:tab/>
            </w:r>
            <w:r>
              <w:rPr>
                <w:rFonts w:hint="default" w:ascii="Times New Roman" w:hAnsi="Times New Roman" w:eastAsia="仿宋_GB2312" w:cs="Times New Roman"/>
                <w:sz w:val="19"/>
                <w:szCs w:val="19"/>
              </w:rPr>
              <w:t>人</w:t>
            </w:r>
          </w:p>
        </w:tc>
        <w:tc>
          <w:tcPr>
            <w:tcW w:w="1926" w:type="dxa"/>
          </w:tcPr>
          <w:p w14:paraId="6A74DA36">
            <w:pPr>
              <w:spacing w:before="142" w:line="227" w:lineRule="auto"/>
              <w:ind w:left="119"/>
              <w:rPr>
                <w:rFonts w:hint="default" w:ascii="Times New Roman" w:hAnsi="Times New Roman" w:eastAsia="仿宋_GB2312" w:cs="Times New Roman"/>
                <w:sz w:val="19"/>
                <w:szCs w:val="19"/>
              </w:rPr>
            </w:pPr>
            <w:r>
              <w:rPr>
                <w:rFonts w:hint="default" w:ascii="Times New Roman" w:hAnsi="Times New Roman" w:eastAsia="仿宋_GB2312" w:cs="Times New Roman"/>
                <w:spacing w:val="9"/>
                <w:sz w:val="19"/>
                <w:szCs w:val="19"/>
              </w:rPr>
              <w:t>覆</w:t>
            </w:r>
            <w:r>
              <w:rPr>
                <w:rFonts w:hint="default" w:ascii="Times New Roman" w:hAnsi="Times New Roman" w:eastAsia="仿宋_GB2312" w:cs="Times New Roman"/>
                <w:spacing w:val="7"/>
                <w:sz w:val="19"/>
                <w:szCs w:val="19"/>
              </w:rPr>
              <w:t>盖居民户数</w:t>
            </w:r>
          </w:p>
        </w:tc>
        <w:tc>
          <w:tcPr>
            <w:tcW w:w="2445" w:type="dxa"/>
          </w:tcPr>
          <w:p w14:paraId="4384412E">
            <w:pPr>
              <w:tabs>
                <w:tab w:val="left" w:pos="720"/>
              </w:tabs>
              <w:spacing w:before="142" w:line="228" w:lineRule="auto"/>
              <w:ind w:left="107"/>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u w:val="single"/>
              </w:rPr>
              <w:tab/>
            </w:r>
            <w:r>
              <w:rPr>
                <w:rFonts w:hint="default" w:ascii="Times New Roman" w:hAnsi="Times New Roman" w:eastAsia="仿宋_GB2312" w:cs="Times New Roman"/>
                <w:sz w:val="19"/>
                <w:szCs w:val="19"/>
              </w:rPr>
              <w:t>户</w:t>
            </w:r>
          </w:p>
        </w:tc>
      </w:tr>
      <w:tr w14:paraId="6A9A1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jc w:val="center"/>
        </w:trPr>
        <w:tc>
          <w:tcPr>
            <w:tcW w:w="9896" w:type="dxa"/>
            <w:gridSpan w:val="7"/>
          </w:tcPr>
          <w:p w14:paraId="5B8830BB">
            <w:pPr>
              <w:spacing w:before="219" w:line="216" w:lineRule="auto"/>
              <w:ind w:left="3886"/>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2"/>
                <w:sz w:val="24"/>
                <w:szCs w:val="24"/>
              </w:rPr>
              <w:t>第二部分：体检情况</w:t>
            </w:r>
          </w:p>
        </w:tc>
      </w:tr>
      <w:tr w14:paraId="19D9E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jc w:val="center"/>
        </w:trPr>
        <w:tc>
          <w:tcPr>
            <w:tcW w:w="538" w:type="dxa"/>
            <w:vMerge w:val="restart"/>
            <w:textDirection w:val="tbRlV"/>
          </w:tcPr>
          <w:p w14:paraId="4D9B6C5A">
            <w:pPr>
              <w:spacing w:before="146" w:line="212" w:lineRule="auto"/>
              <w:ind w:left="3813"/>
              <w:rPr>
                <w:rFonts w:hint="default" w:ascii="Times New Roman" w:hAnsi="Times New Roman" w:eastAsia="仿宋_GB2312" w:cs="Times New Roman"/>
                <w:sz w:val="24"/>
                <w:szCs w:val="24"/>
              </w:rPr>
            </w:pPr>
            <w:r>
              <w:rPr>
                <w:rFonts w:hint="default" w:ascii="Times New Roman" w:hAnsi="Times New Roman" w:eastAsia="黑体" w:cs="Times New Roman"/>
                <w:spacing w:val="-21"/>
                <w:sz w:val="24"/>
                <w:szCs w:val="24"/>
              </w:rPr>
              <w:t>体 检 指 标</w:t>
            </w:r>
          </w:p>
        </w:tc>
        <w:tc>
          <w:tcPr>
            <w:tcW w:w="1134" w:type="dxa"/>
          </w:tcPr>
          <w:p w14:paraId="244E3458">
            <w:pPr>
              <w:spacing w:before="183" w:line="218" w:lineRule="auto"/>
              <w:ind w:left="368"/>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维度</w:t>
            </w:r>
          </w:p>
        </w:tc>
        <w:tc>
          <w:tcPr>
            <w:tcW w:w="424" w:type="dxa"/>
            <w:textDirection w:val="tbRlV"/>
          </w:tcPr>
          <w:p w14:paraId="77728401">
            <w:pPr>
              <w:spacing w:before="103" w:line="203" w:lineRule="auto"/>
              <w:ind w:left="43"/>
              <w:rPr>
                <w:rFonts w:hint="default" w:ascii="Times New Roman" w:hAnsi="Times New Roman" w:eastAsia="仿宋_GB2312" w:cs="Times New Roman"/>
                <w:szCs w:val="21"/>
              </w:rPr>
            </w:pPr>
            <w:r>
              <w:rPr>
                <w:rFonts w:hint="default" w:ascii="Times New Roman" w:hAnsi="Times New Roman" w:eastAsia="仿宋_GB2312" w:cs="Times New Roman"/>
                <w:spacing w:val="-12"/>
                <w:szCs w:val="21"/>
              </w:rPr>
              <w:t>序</w:t>
            </w:r>
            <w:r>
              <w:rPr>
                <w:rFonts w:hint="default" w:ascii="Times New Roman" w:hAnsi="Times New Roman" w:eastAsia="仿宋_GB2312" w:cs="Times New Roman"/>
                <w:spacing w:val="-11"/>
                <w:szCs w:val="21"/>
              </w:rPr>
              <w:t xml:space="preserve"> 号</w:t>
            </w:r>
          </w:p>
        </w:tc>
        <w:tc>
          <w:tcPr>
            <w:tcW w:w="1277" w:type="dxa"/>
          </w:tcPr>
          <w:p w14:paraId="20DCB313">
            <w:pPr>
              <w:spacing w:before="182" w:line="219" w:lineRule="auto"/>
              <w:ind w:left="332"/>
              <w:rPr>
                <w:rFonts w:hint="default" w:ascii="Times New Roman" w:hAnsi="Times New Roman" w:eastAsia="仿宋_GB2312" w:cs="Times New Roman"/>
                <w:szCs w:val="21"/>
              </w:rPr>
            </w:pPr>
            <w:r>
              <w:rPr>
                <w:rFonts w:hint="default" w:ascii="Times New Roman" w:hAnsi="Times New Roman" w:eastAsia="仿宋_GB2312" w:cs="Times New Roman"/>
                <w:spacing w:val="-3"/>
                <w:szCs w:val="21"/>
              </w:rPr>
              <w:t>指</w:t>
            </w:r>
            <w:r>
              <w:rPr>
                <w:rFonts w:hint="default" w:ascii="Times New Roman" w:hAnsi="Times New Roman" w:eastAsia="仿宋_GB2312" w:cs="Times New Roman"/>
                <w:spacing w:val="-2"/>
                <w:szCs w:val="21"/>
              </w:rPr>
              <w:t>标项</w:t>
            </w:r>
          </w:p>
        </w:tc>
        <w:tc>
          <w:tcPr>
            <w:tcW w:w="2152" w:type="dxa"/>
          </w:tcPr>
          <w:p w14:paraId="0A173C52">
            <w:pPr>
              <w:spacing w:before="182" w:line="220" w:lineRule="auto"/>
              <w:ind w:left="769"/>
              <w:rPr>
                <w:rFonts w:hint="default" w:ascii="Times New Roman" w:hAnsi="Times New Roman" w:eastAsia="仿宋_GB2312" w:cs="Times New Roman"/>
                <w:szCs w:val="21"/>
              </w:rPr>
            </w:pPr>
            <w:r>
              <w:rPr>
                <w:rFonts w:hint="default" w:ascii="Times New Roman" w:hAnsi="Times New Roman" w:eastAsia="仿宋_GB2312" w:cs="Times New Roman"/>
                <w:spacing w:val="-3"/>
                <w:szCs w:val="21"/>
              </w:rPr>
              <w:t>数</w:t>
            </w:r>
            <w:r>
              <w:rPr>
                <w:rFonts w:hint="default" w:ascii="Times New Roman" w:hAnsi="Times New Roman" w:eastAsia="仿宋_GB2312" w:cs="Times New Roman"/>
                <w:spacing w:val="-2"/>
                <w:szCs w:val="21"/>
              </w:rPr>
              <w:t>据列</w:t>
            </w:r>
          </w:p>
        </w:tc>
        <w:tc>
          <w:tcPr>
            <w:tcW w:w="4371" w:type="dxa"/>
            <w:gridSpan w:val="2"/>
          </w:tcPr>
          <w:p w14:paraId="278EEEC3">
            <w:pPr>
              <w:spacing w:before="183" w:line="218" w:lineRule="auto"/>
              <w:ind w:left="1879"/>
              <w:rPr>
                <w:rFonts w:hint="default" w:ascii="Times New Roman" w:hAnsi="Times New Roman" w:eastAsia="仿宋_GB2312" w:cs="Times New Roman"/>
                <w:szCs w:val="21"/>
              </w:rPr>
            </w:pPr>
            <w:r>
              <w:rPr>
                <w:rFonts w:hint="default" w:ascii="Times New Roman" w:hAnsi="Times New Roman" w:eastAsia="仿宋_GB2312" w:cs="Times New Roman"/>
                <w:spacing w:val="-4"/>
                <w:szCs w:val="21"/>
              </w:rPr>
              <w:t>采</w:t>
            </w:r>
            <w:r>
              <w:rPr>
                <w:rFonts w:hint="default" w:ascii="Times New Roman" w:hAnsi="Times New Roman" w:eastAsia="仿宋_GB2312" w:cs="Times New Roman"/>
                <w:spacing w:val="-3"/>
                <w:szCs w:val="21"/>
              </w:rPr>
              <w:t>集</w:t>
            </w:r>
            <w:r>
              <w:rPr>
                <w:rFonts w:hint="default" w:ascii="Times New Roman" w:hAnsi="Times New Roman" w:eastAsia="仿宋_GB2312" w:cs="Times New Roman"/>
                <w:spacing w:val="-2"/>
                <w:szCs w:val="21"/>
              </w:rPr>
              <w:t>值</w:t>
            </w:r>
          </w:p>
        </w:tc>
      </w:tr>
      <w:tr w14:paraId="41B77B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38" w:type="dxa"/>
            <w:vMerge w:val="continue"/>
            <w:textDirection w:val="tbRlV"/>
          </w:tcPr>
          <w:p w14:paraId="79706C6C">
            <w:pPr>
              <w:rPr>
                <w:rFonts w:hint="default" w:ascii="Times New Roman" w:hAnsi="Times New Roman" w:eastAsia="仿宋_GB2312" w:cs="Times New Roman"/>
              </w:rPr>
            </w:pPr>
          </w:p>
        </w:tc>
        <w:tc>
          <w:tcPr>
            <w:tcW w:w="1134" w:type="dxa"/>
            <w:vMerge w:val="restart"/>
          </w:tcPr>
          <w:p w14:paraId="182DF3C3">
            <w:pPr>
              <w:spacing w:line="241" w:lineRule="auto"/>
              <w:rPr>
                <w:rFonts w:hint="default" w:ascii="Times New Roman" w:hAnsi="Times New Roman" w:eastAsia="仿宋_GB2312" w:cs="Times New Roman"/>
              </w:rPr>
            </w:pPr>
          </w:p>
          <w:p w14:paraId="680FDD2E">
            <w:pPr>
              <w:spacing w:line="241" w:lineRule="auto"/>
              <w:rPr>
                <w:rFonts w:hint="default" w:ascii="Times New Roman" w:hAnsi="Times New Roman" w:eastAsia="仿宋_GB2312" w:cs="Times New Roman"/>
              </w:rPr>
            </w:pPr>
          </w:p>
          <w:p w14:paraId="6265ED30">
            <w:pPr>
              <w:spacing w:line="241" w:lineRule="auto"/>
              <w:rPr>
                <w:rFonts w:hint="default" w:ascii="Times New Roman" w:hAnsi="Times New Roman" w:eastAsia="仿宋_GB2312" w:cs="Times New Roman"/>
              </w:rPr>
            </w:pPr>
          </w:p>
          <w:p w14:paraId="7BAD4AD6">
            <w:pPr>
              <w:spacing w:line="241" w:lineRule="auto"/>
              <w:rPr>
                <w:rFonts w:hint="default" w:ascii="Times New Roman" w:hAnsi="Times New Roman" w:eastAsia="仿宋_GB2312" w:cs="Times New Roman"/>
              </w:rPr>
            </w:pPr>
          </w:p>
          <w:p w14:paraId="6AC88376">
            <w:pPr>
              <w:spacing w:line="241" w:lineRule="auto"/>
              <w:rPr>
                <w:rFonts w:hint="default" w:ascii="Times New Roman" w:hAnsi="Times New Roman" w:eastAsia="仿宋_GB2312" w:cs="Times New Roman"/>
              </w:rPr>
            </w:pPr>
          </w:p>
          <w:p w14:paraId="04459794">
            <w:pPr>
              <w:spacing w:line="241" w:lineRule="auto"/>
              <w:rPr>
                <w:rFonts w:hint="default" w:ascii="Times New Roman" w:hAnsi="Times New Roman" w:eastAsia="仿宋_GB2312" w:cs="Times New Roman"/>
              </w:rPr>
            </w:pPr>
          </w:p>
          <w:p w14:paraId="6361C45D">
            <w:pPr>
              <w:spacing w:line="241" w:lineRule="auto"/>
              <w:rPr>
                <w:rFonts w:hint="default" w:ascii="Times New Roman" w:hAnsi="Times New Roman" w:eastAsia="仿宋_GB2312" w:cs="Times New Roman"/>
              </w:rPr>
            </w:pPr>
          </w:p>
          <w:p w14:paraId="48B6858D">
            <w:pPr>
              <w:spacing w:line="241" w:lineRule="auto"/>
              <w:rPr>
                <w:rFonts w:hint="default" w:ascii="Times New Roman" w:hAnsi="Times New Roman" w:eastAsia="仿宋_GB2312" w:cs="Times New Roman"/>
              </w:rPr>
            </w:pPr>
          </w:p>
          <w:p w14:paraId="2E020EA2">
            <w:pPr>
              <w:spacing w:line="241" w:lineRule="auto"/>
              <w:rPr>
                <w:rFonts w:hint="default" w:ascii="Times New Roman" w:hAnsi="Times New Roman" w:eastAsia="仿宋_GB2312" w:cs="Times New Roman"/>
              </w:rPr>
            </w:pPr>
          </w:p>
          <w:p w14:paraId="5EF84F75">
            <w:pPr>
              <w:spacing w:line="241" w:lineRule="auto"/>
              <w:rPr>
                <w:rFonts w:hint="default" w:ascii="Times New Roman" w:hAnsi="Times New Roman" w:eastAsia="仿宋_GB2312" w:cs="Times New Roman"/>
              </w:rPr>
            </w:pPr>
          </w:p>
          <w:p w14:paraId="60820C30">
            <w:pPr>
              <w:spacing w:line="241" w:lineRule="auto"/>
              <w:rPr>
                <w:rFonts w:hint="default" w:ascii="Times New Roman" w:hAnsi="Times New Roman" w:eastAsia="仿宋_GB2312" w:cs="Times New Roman"/>
              </w:rPr>
            </w:pPr>
          </w:p>
          <w:p w14:paraId="6CA358CA">
            <w:pPr>
              <w:spacing w:line="241" w:lineRule="auto"/>
              <w:rPr>
                <w:rFonts w:hint="default" w:ascii="Times New Roman" w:hAnsi="Times New Roman" w:eastAsia="仿宋_GB2312" w:cs="Times New Roman"/>
              </w:rPr>
            </w:pPr>
          </w:p>
          <w:p w14:paraId="15E7F047">
            <w:pPr>
              <w:spacing w:line="241" w:lineRule="auto"/>
              <w:rPr>
                <w:rFonts w:hint="default" w:ascii="Times New Roman" w:hAnsi="Times New Roman" w:eastAsia="仿宋_GB2312" w:cs="Times New Roman"/>
              </w:rPr>
            </w:pPr>
          </w:p>
          <w:p w14:paraId="26249062">
            <w:pPr>
              <w:spacing w:line="241" w:lineRule="auto"/>
              <w:rPr>
                <w:rFonts w:hint="default" w:ascii="Times New Roman" w:hAnsi="Times New Roman" w:eastAsia="仿宋_GB2312" w:cs="Times New Roman"/>
              </w:rPr>
            </w:pPr>
          </w:p>
          <w:p w14:paraId="7AFA8DA8">
            <w:pPr>
              <w:spacing w:line="241" w:lineRule="auto"/>
              <w:rPr>
                <w:rFonts w:hint="default" w:ascii="Times New Roman" w:hAnsi="Times New Roman" w:eastAsia="仿宋_GB2312" w:cs="Times New Roman"/>
              </w:rPr>
            </w:pPr>
          </w:p>
          <w:p w14:paraId="19C39D19">
            <w:pPr>
              <w:spacing w:line="241" w:lineRule="auto"/>
              <w:rPr>
                <w:rFonts w:hint="default" w:ascii="Times New Roman" w:hAnsi="Times New Roman" w:eastAsia="仿宋_GB2312" w:cs="Times New Roman"/>
              </w:rPr>
            </w:pPr>
          </w:p>
          <w:p w14:paraId="045B5915">
            <w:pPr>
              <w:spacing w:line="241" w:lineRule="auto"/>
              <w:rPr>
                <w:rFonts w:hint="default" w:ascii="Times New Roman" w:hAnsi="Times New Roman" w:eastAsia="仿宋_GB2312" w:cs="Times New Roman"/>
              </w:rPr>
            </w:pPr>
          </w:p>
          <w:p w14:paraId="644C94D2">
            <w:pPr>
              <w:spacing w:before="61" w:line="228" w:lineRule="auto"/>
              <w:ind w:left="175"/>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设</w:t>
            </w:r>
            <w:r>
              <w:rPr>
                <w:rFonts w:hint="default" w:ascii="Times New Roman" w:hAnsi="Times New Roman" w:eastAsia="仿宋_GB2312" w:cs="Times New Roman"/>
                <w:spacing w:val="6"/>
                <w:sz w:val="19"/>
                <w:szCs w:val="19"/>
              </w:rPr>
              <w:t>施完善</w:t>
            </w:r>
          </w:p>
        </w:tc>
        <w:tc>
          <w:tcPr>
            <w:tcW w:w="424" w:type="dxa"/>
            <w:vMerge w:val="restart"/>
            <w:tcBorders>
              <w:bottom w:val="nil"/>
            </w:tcBorders>
          </w:tcPr>
          <w:p w14:paraId="495A5F5D">
            <w:pPr>
              <w:rPr>
                <w:rFonts w:hint="default" w:ascii="Times New Roman" w:hAnsi="Times New Roman" w:eastAsia="仿宋_GB2312" w:cs="Times New Roman"/>
              </w:rPr>
            </w:pPr>
          </w:p>
          <w:p w14:paraId="5DE5100E">
            <w:pPr>
              <w:rPr>
                <w:rFonts w:hint="default" w:ascii="Times New Roman" w:hAnsi="Times New Roman" w:eastAsia="仿宋_GB2312" w:cs="Times New Roman"/>
              </w:rPr>
            </w:pPr>
          </w:p>
          <w:p w14:paraId="48C3B08E">
            <w:pPr>
              <w:rPr>
                <w:rFonts w:hint="default" w:ascii="Times New Roman" w:hAnsi="Times New Roman" w:eastAsia="仿宋_GB2312" w:cs="Times New Roman"/>
              </w:rPr>
            </w:pPr>
          </w:p>
          <w:p w14:paraId="04C4907C">
            <w:pPr>
              <w:rPr>
                <w:rFonts w:hint="default" w:ascii="Times New Roman" w:hAnsi="Times New Roman" w:eastAsia="仿宋_GB2312" w:cs="Times New Roman"/>
              </w:rPr>
            </w:pPr>
          </w:p>
          <w:p w14:paraId="4DB686C1">
            <w:pPr>
              <w:spacing w:before="61" w:line="185" w:lineRule="auto"/>
              <w:ind w:left="178"/>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rPr>
              <w:t>1</w:t>
            </w:r>
          </w:p>
        </w:tc>
        <w:tc>
          <w:tcPr>
            <w:tcW w:w="1277" w:type="dxa"/>
            <w:vMerge w:val="restart"/>
            <w:tcBorders>
              <w:bottom w:val="nil"/>
            </w:tcBorders>
          </w:tcPr>
          <w:p w14:paraId="004194A4">
            <w:pPr>
              <w:spacing w:line="262" w:lineRule="auto"/>
              <w:rPr>
                <w:rFonts w:hint="default" w:ascii="Times New Roman" w:hAnsi="Times New Roman" w:eastAsia="仿宋_GB2312" w:cs="Times New Roman"/>
              </w:rPr>
            </w:pPr>
          </w:p>
          <w:p w14:paraId="7CC8F5A2">
            <w:pPr>
              <w:spacing w:line="262" w:lineRule="auto"/>
              <w:rPr>
                <w:rFonts w:hint="default" w:ascii="Times New Roman" w:hAnsi="Times New Roman" w:eastAsia="仿宋_GB2312" w:cs="Times New Roman"/>
              </w:rPr>
            </w:pPr>
          </w:p>
          <w:p w14:paraId="71E47F4C">
            <w:pPr>
              <w:spacing w:line="262" w:lineRule="auto"/>
              <w:rPr>
                <w:rFonts w:hint="default" w:ascii="Times New Roman" w:hAnsi="Times New Roman" w:eastAsia="仿宋_GB2312" w:cs="Times New Roman"/>
              </w:rPr>
            </w:pPr>
          </w:p>
          <w:p w14:paraId="24B4FCE2">
            <w:pPr>
              <w:spacing w:before="62" w:line="283" w:lineRule="auto"/>
              <w:ind w:left="247" w:right="238"/>
              <w:rPr>
                <w:rFonts w:hint="default" w:ascii="Times New Roman" w:hAnsi="Times New Roman" w:eastAsia="仿宋_GB2312" w:cs="Times New Roman"/>
                <w:sz w:val="19"/>
                <w:szCs w:val="19"/>
              </w:rPr>
            </w:pPr>
            <w:r>
              <w:rPr>
                <w:rFonts w:hint="default" w:ascii="Times New Roman" w:hAnsi="Times New Roman" w:eastAsia="仿宋_GB2312" w:cs="Times New Roman"/>
                <w:spacing w:val="7"/>
                <w:sz w:val="19"/>
                <w:szCs w:val="19"/>
              </w:rPr>
              <w:t>社</w:t>
            </w:r>
            <w:r>
              <w:rPr>
                <w:rFonts w:hint="default" w:ascii="Times New Roman" w:hAnsi="Times New Roman" w:eastAsia="仿宋_GB2312" w:cs="Times New Roman"/>
                <w:spacing w:val="6"/>
                <w:sz w:val="19"/>
                <w:szCs w:val="19"/>
              </w:rPr>
              <w:t>区养老</w:t>
            </w:r>
            <w:r>
              <w:rPr>
                <w:rFonts w:hint="default" w:ascii="Times New Roman" w:hAnsi="Times New Roman" w:eastAsia="仿宋_GB2312" w:cs="Times New Roman"/>
                <w:sz w:val="19"/>
                <w:szCs w:val="19"/>
              </w:rPr>
              <w:t xml:space="preserve"> </w:t>
            </w:r>
            <w:r>
              <w:rPr>
                <w:rFonts w:hint="default" w:ascii="Times New Roman" w:hAnsi="Times New Roman" w:eastAsia="仿宋_GB2312" w:cs="Times New Roman"/>
                <w:spacing w:val="8"/>
                <w:sz w:val="19"/>
                <w:szCs w:val="19"/>
              </w:rPr>
              <w:t>服</w:t>
            </w:r>
            <w:r>
              <w:rPr>
                <w:rFonts w:hint="default" w:ascii="Times New Roman" w:hAnsi="Times New Roman" w:eastAsia="仿宋_GB2312" w:cs="Times New Roman"/>
                <w:spacing w:val="6"/>
                <w:sz w:val="19"/>
                <w:szCs w:val="19"/>
              </w:rPr>
              <w:t>务设施</w:t>
            </w:r>
          </w:p>
        </w:tc>
        <w:tc>
          <w:tcPr>
            <w:tcW w:w="2152" w:type="dxa"/>
          </w:tcPr>
          <w:p w14:paraId="7A9464A5">
            <w:pPr>
              <w:spacing w:before="142" w:line="229" w:lineRule="auto"/>
              <w:ind w:left="119"/>
              <w:rPr>
                <w:rFonts w:hint="default" w:ascii="Times New Roman" w:hAnsi="Times New Roman" w:eastAsia="仿宋_GB2312" w:cs="Times New Roman"/>
                <w:sz w:val="19"/>
                <w:szCs w:val="19"/>
              </w:rPr>
            </w:pPr>
            <w:r>
              <w:rPr>
                <w:rFonts w:hint="default" w:ascii="Times New Roman" w:hAnsi="Times New Roman" w:eastAsia="仿宋_GB2312" w:cs="Times New Roman"/>
                <w:spacing w:val="7"/>
                <w:sz w:val="19"/>
                <w:szCs w:val="19"/>
              </w:rPr>
              <w:t>是</w:t>
            </w:r>
            <w:r>
              <w:rPr>
                <w:rFonts w:hint="default" w:ascii="Times New Roman" w:hAnsi="Times New Roman" w:eastAsia="仿宋_GB2312" w:cs="Times New Roman"/>
                <w:spacing w:val="6"/>
                <w:sz w:val="19"/>
                <w:szCs w:val="19"/>
              </w:rPr>
              <w:t>否配建</w:t>
            </w:r>
          </w:p>
        </w:tc>
        <w:tc>
          <w:tcPr>
            <w:tcW w:w="1926" w:type="dxa"/>
            <w:tcBorders>
              <w:right w:val="nil"/>
            </w:tcBorders>
          </w:tcPr>
          <w:p w14:paraId="71A2D69A">
            <w:pPr>
              <w:spacing w:before="142" w:line="229" w:lineRule="auto"/>
              <w:ind w:right="39"/>
              <w:jc w:val="right"/>
              <w:rPr>
                <w:rFonts w:hint="default" w:ascii="Times New Roman" w:hAnsi="Times New Roman" w:eastAsia="仿宋_GB2312" w:cs="Times New Roman"/>
                <w:sz w:val="19"/>
                <w:szCs w:val="19"/>
              </w:rPr>
            </w:pPr>
            <w:r>
              <w:rPr>
                <w:rFonts w:hint="default" w:ascii="Times New Roman" w:hAnsi="Times New Roman" w:eastAsia="仿宋_GB2312" w:cs="Times New Roman"/>
                <w:spacing w:val="-2"/>
                <w:sz w:val="19"/>
                <w:szCs w:val="19"/>
              </w:rPr>
              <w:t>□是</w:t>
            </w:r>
          </w:p>
        </w:tc>
        <w:tc>
          <w:tcPr>
            <w:tcW w:w="2445" w:type="dxa"/>
            <w:tcBorders>
              <w:left w:val="nil"/>
            </w:tcBorders>
          </w:tcPr>
          <w:p w14:paraId="1988692B">
            <w:pPr>
              <w:spacing w:before="142" w:line="229" w:lineRule="auto"/>
              <w:ind w:left="585"/>
              <w:rPr>
                <w:rFonts w:hint="default" w:ascii="Times New Roman" w:hAnsi="Times New Roman" w:eastAsia="仿宋_GB2312" w:cs="Times New Roman"/>
                <w:sz w:val="19"/>
                <w:szCs w:val="19"/>
              </w:rPr>
            </w:pPr>
            <w:r>
              <w:rPr>
                <w:rFonts w:hint="default" w:ascii="Times New Roman" w:hAnsi="Times New Roman" w:eastAsia="仿宋_GB2312" w:cs="Times New Roman"/>
                <w:spacing w:val="-3"/>
                <w:sz w:val="19"/>
                <w:szCs w:val="19"/>
              </w:rPr>
              <w:t>□</w:t>
            </w:r>
            <w:r>
              <w:rPr>
                <w:rFonts w:hint="default" w:ascii="Times New Roman" w:hAnsi="Times New Roman" w:eastAsia="仿宋_GB2312" w:cs="Times New Roman"/>
                <w:spacing w:val="-2"/>
                <w:sz w:val="19"/>
                <w:szCs w:val="19"/>
              </w:rPr>
              <w:t>否</w:t>
            </w:r>
          </w:p>
        </w:tc>
      </w:tr>
      <w:tr w14:paraId="558543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jc w:val="center"/>
        </w:trPr>
        <w:tc>
          <w:tcPr>
            <w:tcW w:w="538" w:type="dxa"/>
            <w:vMerge w:val="continue"/>
            <w:textDirection w:val="tbRlV"/>
          </w:tcPr>
          <w:p w14:paraId="23DEC236">
            <w:pPr>
              <w:rPr>
                <w:rFonts w:hint="default" w:ascii="Times New Roman" w:hAnsi="Times New Roman" w:eastAsia="仿宋_GB2312" w:cs="Times New Roman"/>
              </w:rPr>
            </w:pPr>
          </w:p>
        </w:tc>
        <w:tc>
          <w:tcPr>
            <w:tcW w:w="1134" w:type="dxa"/>
            <w:vMerge w:val="continue"/>
          </w:tcPr>
          <w:p w14:paraId="21211353">
            <w:pPr>
              <w:rPr>
                <w:rFonts w:hint="default" w:ascii="Times New Roman" w:hAnsi="Times New Roman" w:eastAsia="仿宋_GB2312" w:cs="Times New Roman"/>
              </w:rPr>
            </w:pPr>
          </w:p>
        </w:tc>
        <w:tc>
          <w:tcPr>
            <w:tcW w:w="424" w:type="dxa"/>
            <w:vMerge w:val="continue"/>
            <w:tcBorders>
              <w:top w:val="nil"/>
              <w:bottom w:val="nil"/>
            </w:tcBorders>
          </w:tcPr>
          <w:p w14:paraId="0F843D73">
            <w:pPr>
              <w:rPr>
                <w:rFonts w:hint="default" w:ascii="Times New Roman" w:hAnsi="Times New Roman" w:eastAsia="仿宋_GB2312" w:cs="Times New Roman"/>
              </w:rPr>
            </w:pPr>
          </w:p>
        </w:tc>
        <w:tc>
          <w:tcPr>
            <w:tcW w:w="1277" w:type="dxa"/>
            <w:vMerge w:val="continue"/>
            <w:tcBorders>
              <w:top w:val="nil"/>
              <w:bottom w:val="nil"/>
            </w:tcBorders>
          </w:tcPr>
          <w:p w14:paraId="411338C2">
            <w:pPr>
              <w:rPr>
                <w:rFonts w:hint="default" w:ascii="Times New Roman" w:hAnsi="Times New Roman" w:eastAsia="仿宋_GB2312" w:cs="Times New Roman"/>
              </w:rPr>
            </w:pPr>
          </w:p>
        </w:tc>
        <w:tc>
          <w:tcPr>
            <w:tcW w:w="2152" w:type="dxa"/>
          </w:tcPr>
          <w:p w14:paraId="666D2B47">
            <w:pPr>
              <w:spacing w:line="271" w:lineRule="auto"/>
              <w:rPr>
                <w:rFonts w:hint="default" w:ascii="Times New Roman" w:hAnsi="Times New Roman" w:eastAsia="仿宋_GB2312" w:cs="Times New Roman"/>
              </w:rPr>
            </w:pPr>
          </w:p>
          <w:p w14:paraId="6640B338">
            <w:pPr>
              <w:spacing w:before="62" w:line="227" w:lineRule="auto"/>
              <w:ind w:left="122"/>
              <w:rPr>
                <w:rFonts w:hint="default" w:ascii="Times New Roman" w:hAnsi="Times New Roman" w:eastAsia="仿宋_GB2312" w:cs="Times New Roman"/>
                <w:sz w:val="19"/>
                <w:szCs w:val="19"/>
              </w:rPr>
            </w:pPr>
            <w:r>
              <w:rPr>
                <w:rFonts w:hint="default" w:ascii="Times New Roman" w:hAnsi="Times New Roman" w:eastAsia="仿宋_GB2312" w:cs="Times New Roman"/>
                <w:spacing w:val="7"/>
                <w:sz w:val="19"/>
                <w:szCs w:val="19"/>
              </w:rPr>
              <w:t>面积是否达标</w:t>
            </w:r>
          </w:p>
        </w:tc>
        <w:tc>
          <w:tcPr>
            <w:tcW w:w="4371" w:type="dxa"/>
            <w:gridSpan w:val="2"/>
          </w:tcPr>
          <w:p w14:paraId="799265B0">
            <w:pPr>
              <w:spacing w:before="54" w:line="229" w:lineRule="auto"/>
              <w:ind w:left="1507"/>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w:t>
            </w:r>
            <w:r>
              <w:rPr>
                <w:rFonts w:hint="default" w:ascii="Times New Roman" w:hAnsi="Times New Roman" w:eastAsia="仿宋_GB2312" w:cs="Times New Roman"/>
                <w:spacing w:val="6"/>
                <w:sz w:val="19"/>
                <w:szCs w:val="19"/>
              </w:rPr>
              <w:t>是</w:t>
            </w:r>
            <w:r>
              <w:rPr>
                <w:rFonts w:hint="default" w:ascii="Times New Roman" w:hAnsi="Times New Roman" w:eastAsia="仿宋_GB2312" w:cs="Times New Roman"/>
                <w:spacing w:val="4"/>
                <w:sz w:val="19"/>
                <w:szCs w:val="19"/>
              </w:rPr>
              <w:t xml:space="preserve">      □否</w:t>
            </w:r>
          </w:p>
          <w:p w14:paraId="35EDC5D4">
            <w:pPr>
              <w:spacing w:before="45" w:line="247" w:lineRule="auto"/>
              <w:ind w:left="297" w:right="304" w:firstLine="494"/>
              <w:rPr>
                <w:rFonts w:hint="default" w:ascii="Times New Roman" w:hAnsi="Times New Roman" w:eastAsia="仿宋_GB2312" w:cs="Times New Roman"/>
                <w:sz w:val="19"/>
                <w:szCs w:val="19"/>
              </w:rPr>
            </w:pPr>
            <w:r>
              <w:rPr>
                <w:rFonts w:hint="default" w:ascii="Times New Roman" w:hAnsi="Times New Roman" w:eastAsia="仿宋_GB2312" w:cs="Times New Roman"/>
                <w:spacing w:val="12"/>
                <w:sz w:val="19"/>
                <w:szCs w:val="19"/>
              </w:rPr>
              <w:t>建</w:t>
            </w:r>
            <w:r>
              <w:rPr>
                <w:rFonts w:hint="default" w:ascii="Times New Roman" w:hAnsi="Times New Roman" w:eastAsia="仿宋_GB2312" w:cs="Times New Roman"/>
                <w:spacing w:val="8"/>
                <w:sz w:val="19"/>
                <w:szCs w:val="19"/>
              </w:rPr>
              <w:t>筑</w:t>
            </w:r>
            <w:r>
              <w:rPr>
                <w:rFonts w:hint="default" w:ascii="Times New Roman" w:hAnsi="Times New Roman" w:eastAsia="仿宋_GB2312" w:cs="Times New Roman"/>
                <w:spacing w:val="6"/>
                <w:sz w:val="19"/>
                <w:szCs w:val="19"/>
              </w:rPr>
              <w:t>面积：____________平方米</w:t>
            </w:r>
            <w:r>
              <w:rPr>
                <w:rFonts w:hint="default" w:ascii="Times New Roman" w:hAnsi="Times New Roman" w:eastAsia="仿宋_GB2312" w:cs="Times New Roman"/>
                <w:sz w:val="19"/>
                <w:szCs w:val="19"/>
              </w:rPr>
              <w:t xml:space="preserve">     （</w:t>
            </w:r>
            <w:r>
              <w:rPr>
                <w:rFonts w:hint="default" w:ascii="Times New Roman" w:hAnsi="Times New Roman" w:eastAsia="仿宋_GB2312" w:cs="Times New Roman"/>
                <w:spacing w:val="7"/>
                <w:sz w:val="19"/>
                <w:szCs w:val="19"/>
              </w:rPr>
              <w:t>新建社区，建筑面积不小于 350 平方米）</w:t>
            </w:r>
          </w:p>
        </w:tc>
      </w:tr>
      <w:tr w14:paraId="714830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jc w:val="center"/>
        </w:trPr>
        <w:tc>
          <w:tcPr>
            <w:tcW w:w="538" w:type="dxa"/>
            <w:vMerge w:val="continue"/>
            <w:textDirection w:val="tbRlV"/>
          </w:tcPr>
          <w:p w14:paraId="2F32D7D0">
            <w:pPr>
              <w:rPr>
                <w:rFonts w:hint="default" w:ascii="Times New Roman" w:hAnsi="Times New Roman" w:eastAsia="仿宋_GB2312" w:cs="Times New Roman"/>
              </w:rPr>
            </w:pPr>
          </w:p>
        </w:tc>
        <w:tc>
          <w:tcPr>
            <w:tcW w:w="1134" w:type="dxa"/>
            <w:vMerge w:val="continue"/>
          </w:tcPr>
          <w:p w14:paraId="4C51C80E">
            <w:pPr>
              <w:rPr>
                <w:rFonts w:hint="default" w:ascii="Times New Roman" w:hAnsi="Times New Roman" w:eastAsia="仿宋_GB2312" w:cs="Times New Roman"/>
              </w:rPr>
            </w:pPr>
          </w:p>
        </w:tc>
        <w:tc>
          <w:tcPr>
            <w:tcW w:w="424" w:type="dxa"/>
            <w:vMerge w:val="continue"/>
            <w:tcBorders>
              <w:top w:val="nil"/>
            </w:tcBorders>
          </w:tcPr>
          <w:p w14:paraId="25392560">
            <w:pPr>
              <w:rPr>
                <w:rFonts w:hint="default" w:ascii="Times New Roman" w:hAnsi="Times New Roman" w:eastAsia="仿宋_GB2312" w:cs="Times New Roman"/>
              </w:rPr>
            </w:pPr>
          </w:p>
        </w:tc>
        <w:tc>
          <w:tcPr>
            <w:tcW w:w="1277" w:type="dxa"/>
            <w:vMerge w:val="continue"/>
            <w:tcBorders>
              <w:top w:val="nil"/>
            </w:tcBorders>
          </w:tcPr>
          <w:p w14:paraId="50AD1100">
            <w:pPr>
              <w:rPr>
                <w:rFonts w:hint="default" w:ascii="Times New Roman" w:hAnsi="Times New Roman" w:eastAsia="仿宋_GB2312" w:cs="Times New Roman"/>
              </w:rPr>
            </w:pPr>
          </w:p>
        </w:tc>
        <w:tc>
          <w:tcPr>
            <w:tcW w:w="2152" w:type="dxa"/>
          </w:tcPr>
          <w:p w14:paraId="21CE4EEC">
            <w:pPr>
              <w:spacing w:line="272" w:lineRule="auto"/>
              <w:rPr>
                <w:rFonts w:hint="default" w:ascii="Times New Roman" w:hAnsi="Times New Roman" w:eastAsia="仿宋_GB2312" w:cs="Times New Roman"/>
              </w:rPr>
            </w:pPr>
          </w:p>
          <w:p w14:paraId="3CA70A6A">
            <w:pPr>
              <w:spacing w:before="61" w:line="224" w:lineRule="auto"/>
              <w:ind w:left="121"/>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存</w:t>
            </w:r>
            <w:r>
              <w:rPr>
                <w:rFonts w:hint="default" w:ascii="Times New Roman" w:hAnsi="Times New Roman" w:eastAsia="仿宋_GB2312" w:cs="Times New Roman"/>
                <w:spacing w:val="7"/>
                <w:sz w:val="19"/>
                <w:szCs w:val="19"/>
              </w:rPr>
              <w:t>在哪些问题</w:t>
            </w:r>
          </w:p>
        </w:tc>
        <w:tc>
          <w:tcPr>
            <w:tcW w:w="4371" w:type="dxa"/>
            <w:gridSpan w:val="2"/>
          </w:tcPr>
          <w:p w14:paraId="2F2FB569">
            <w:pPr>
              <w:spacing w:before="54" w:line="225" w:lineRule="auto"/>
              <w:ind w:left="132"/>
              <w:rPr>
                <w:rFonts w:hint="default" w:ascii="Times New Roman" w:hAnsi="Times New Roman" w:eastAsia="仿宋_GB2312" w:cs="Times New Roman"/>
                <w:sz w:val="19"/>
                <w:szCs w:val="19"/>
              </w:rPr>
            </w:pPr>
            <w:r>
              <w:rPr>
                <w:rFonts w:hint="default" w:ascii="Times New Roman" w:hAnsi="Times New Roman" w:eastAsia="仿宋_GB2312" w:cs="Times New Roman"/>
                <w:spacing w:val="16"/>
                <w:sz w:val="19"/>
                <w:szCs w:val="19"/>
              </w:rPr>
              <w:t>□</w:t>
            </w:r>
            <w:r>
              <w:rPr>
                <w:rFonts w:hint="default" w:ascii="Times New Roman" w:hAnsi="Times New Roman" w:eastAsia="仿宋_GB2312" w:cs="Times New Roman"/>
                <w:spacing w:val="8"/>
                <w:sz w:val="19"/>
                <w:szCs w:val="19"/>
              </w:rPr>
              <w:t>生活照料服务不健全 □康复护理服务不健全</w:t>
            </w:r>
          </w:p>
          <w:p w14:paraId="44149AE5">
            <w:pPr>
              <w:spacing w:before="48" w:line="226" w:lineRule="auto"/>
              <w:ind w:left="132"/>
              <w:rPr>
                <w:rFonts w:hint="default" w:ascii="Times New Roman" w:hAnsi="Times New Roman" w:eastAsia="仿宋_GB2312" w:cs="Times New Roman"/>
                <w:sz w:val="19"/>
                <w:szCs w:val="19"/>
              </w:rPr>
            </w:pPr>
            <w:r>
              <w:rPr>
                <w:rFonts w:hint="default" w:ascii="Times New Roman" w:hAnsi="Times New Roman" w:eastAsia="仿宋_GB2312" w:cs="Times New Roman"/>
                <w:spacing w:val="16"/>
                <w:sz w:val="19"/>
                <w:szCs w:val="19"/>
              </w:rPr>
              <w:t>□</w:t>
            </w:r>
            <w:r>
              <w:rPr>
                <w:rFonts w:hint="default" w:ascii="Times New Roman" w:hAnsi="Times New Roman" w:eastAsia="仿宋_GB2312" w:cs="Times New Roman"/>
                <w:spacing w:val="8"/>
                <w:sz w:val="19"/>
                <w:szCs w:val="19"/>
              </w:rPr>
              <w:t>助餐助行服务不健全 □上门照护服务不健全</w:t>
            </w:r>
          </w:p>
          <w:p w14:paraId="70DE894C">
            <w:pPr>
              <w:spacing w:before="45" w:line="224" w:lineRule="auto"/>
              <w:ind w:left="132"/>
              <w:rPr>
                <w:rFonts w:hint="default" w:ascii="Times New Roman" w:hAnsi="Times New Roman" w:eastAsia="仿宋_GB2312" w:cs="Times New Roman"/>
                <w:sz w:val="19"/>
                <w:szCs w:val="19"/>
              </w:rPr>
            </w:pPr>
            <w:r>
              <w:rPr>
                <w:rFonts w:hint="default" w:ascii="Times New Roman" w:hAnsi="Times New Roman" w:eastAsia="仿宋_GB2312" w:cs="Times New Roman"/>
                <w:spacing w:val="12"/>
                <w:sz w:val="19"/>
                <w:szCs w:val="19"/>
              </w:rPr>
              <w:t>□文</w:t>
            </w:r>
            <w:r>
              <w:rPr>
                <w:rFonts w:hint="default" w:ascii="Times New Roman" w:hAnsi="Times New Roman" w:eastAsia="仿宋_GB2312" w:cs="Times New Roman"/>
                <w:spacing w:val="9"/>
                <w:sz w:val="19"/>
                <w:szCs w:val="19"/>
              </w:rPr>
              <w:t>化</w:t>
            </w:r>
            <w:r>
              <w:rPr>
                <w:rFonts w:hint="default" w:ascii="Times New Roman" w:hAnsi="Times New Roman" w:eastAsia="仿宋_GB2312" w:cs="Times New Roman"/>
                <w:spacing w:val="6"/>
                <w:sz w:val="19"/>
                <w:szCs w:val="19"/>
              </w:rPr>
              <w:t>娱乐服务不健全 □其他：____________</w:t>
            </w:r>
          </w:p>
        </w:tc>
      </w:tr>
      <w:tr w14:paraId="63BCB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538" w:type="dxa"/>
            <w:vMerge w:val="continue"/>
            <w:textDirection w:val="tbRlV"/>
          </w:tcPr>
          <w:p w14:paraId="04F343DF">
            <w:pPr>
              <w:rPr>
                <w:rFonts w:hint="default" w:ascii="Times New Roman" w:hAnsi="Times New Roman" w:eastAsia="仿宋_GB2312" w:cs="Times New Roman"/>
              </w:rPr>
            </w:pPr>
          </w:p>
        </w:tc>
        <w:tc>
          <w:tcPr>
            <w:tcW w:w="1134" w:type="dxa"/>
            <w:vMerge w:val="continue"/>
          </w:tcPr>
          <w:p w14:paraId="37229C0E">
            <w:pPr>
              <w:rPr>
                <w:rFonts w:hint="default" w:ascii="Times New Roman" w:hAnsi="Times New Roman" w:eastAsia="仿宋_GB2312" w:cs="Times New Roman"/>
              </w:rPr>
            </w:pPr>
          </w:p>
        </w:tc>
        <w:tc>
          <w:tcPr>
            <w:tcW w:w="424" w:type="dxa"/>
            <w:vMerge w:val="restart"/>
            <w:tcBorders>
              <w:bottom w:val="nil"/>
            </w:tcBorders>
          </w:tcPr>
          <w:p w14:paraId="6B71886D">
            <w:pPr>
              <w:spacing w:line="279" w:lineRule="auto"/>
              <w:rPr>
                <w:rFonts w:hint="default" w:ascii="Times New Roman" w:hAnsi="Times New Roman" w:eastAsia="仿宋_GB2312" w:cs="Times New Roman"/>
              </w:rPr>
            </w:pPr>
          </w:p>
          <w:p w14:paraId="730CAE8E">
            <w:pPr>
              <w:spacing w:line="280" w:lineRule="auto"/>
              <w:rPr>
                <w:rFonts w:hint="default" w:ascii="Times New Roman" w:hAnsi="Times New Roman" w:eastAsia="仿宋_GB2312" w:cs="Times New Roman"/>
              </w:rPr>
            </w:pPr>
          </w:p>
          <w:p w14:paraId="53EC7511">
            <w:pPr>
              <w:spacing w:line="280" w:lineRule="auto"/>
              <w:rPr>
                <w:rFonts w:hint="default" w:ascii="Times New Roman" w:hAnsi="Times New Roman" w:eastAsia="仿宋_GB2312" w:cs="Times New Roman"/>
              </w:rPr>
            </w:pPr>
          </w:p>
          <w:p w14:paraId="6A3A3605">
            <w:pPr>
              <w:spacing w:before="62" w:line="184" w:lineRule="auto"/>
              <w:ind w:left="166"/>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rPr>
              <w:t>2</w:t>
            </w:r>
          </w:p>
        </w:tc>
        <w:tc>
          <w:tcPr>
            <w:tcW w:w="1277" w:type="dxa"/>
            <w:vMerge w:val="restart"/>
            <w:tcBorders>
              <w:bottom w:val="nil"/>
            </w:tcBorders>
          </w:tcPr>
          <w:p w14:paraId="2414BDD2">
            <w:pPr>
              <w:spacing w:line="332" w:lineRule="auto"/>
              <w:rPr>
                <w:rFonts w:hint="default" w:ascii="Times New Roman" w:hAnsi="Times New Roman" w:eastAsia="仿宋_GB2312" w:cs="Times New Roman"/>
              </w:rPr>
            </w:pPr>
          </w:p>
          <w:p w14:paraId="21189BF6">
            <w:pPr>
              <w:spacing w:line="333" w:lineRule="auto"/>
              <w:rPr>
                <w:rFonts w:hint="default" w:ascii="Times New Roman" w:hAnsi="Times New Roman" w:eastAsia="仿宋_GB2312" w:cs="Times New Roman"/>
              </w:rPr>
            </w:pPr>
          </w:p>
          <w:p w14:paraId="6E168AE2">
            <w:pPr>
              <w:spacing w:before="61" w:line="283" w:lineRule="auto"/>
              <w:ind w:left="246" w:right="137" w:hanging="95"/>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婴</w:t>
            </w:r>
            <w:r>
              <w:rPr>
                <w:rFonts w:hint="default" w:ascii="Times New Roman" w:hAnsi="Times New Roman" w:eastAsia="仿宋_GB2312" w:cs="Times New Roman"/>
                <w:spacing w:val="6"/>
                <w:sz w:val="19"/>
                <w:szCs w:val="19"/>
              </w:rPr>
              <w:t>幼儿照护</w:t>
            </w:r>
            <w:r>
              <w:rPr>
                <w:rFonts w:hint="default" w:ascii="Times New Roman" w:hAnsi="Times New Roman" w:eastAsia="仿宋_GB2312" w:cs="Times New Roman"/>
                <w:sz w:val="19"/>
                <w:szCs w:val="19"/>
              </w:rPr>
              <w:t xml:space="preserve"> </w:t>
            </w:r>
            <w:r>
              <w:rPr>
                <w:rFonts w:hint="default" w:ascii="Times New Roman" w:hAnsi="Times New Roman" w:eastAsia="仿宋_GB2312" w:cs="Times New Roman"/>
                <w:spacing w:val="8"/>
                <w:sz w:val="19"/>
                <w:szCs w:val="19"/>
              </w:rPr>
              <w:t>服</w:t>
            </w:r>
            <w:r>
              <w:rPr>
                <w:rFonts w:hint="default" w:ascii="Times New Roman" w:hAnsi="Times New Roman" w:eastAsia="仿宋_GB2312" w:cs="Times New Roman"/>
                <w:spacing w:val="6"/>
                <w:sz w:val="19"/>
                <w:szCs w:val="19"/>
              </w:rPr>
              <w:t>务设施</w:t>
            </w:r>
          </w:p>
        </w:tc>
        <w:tc>
          <w:tcPr>
            <w:tcW w:w="2152" w:type="dxa"/>
          </w:tcPr>
          <w:p w14:paraId="67BF6C9E">
            <w:pPr>
              <w:spacing w:before="144" w:line="229" w:lineRule="auto"/>
              <w:ind w:left="119"/>
              <w:rPr>
                <w:rFonts w:hint="default" w:ascii="Times New Roman" w:hAnsi="Times New Roman" w:eastAsia="仿宋_GB2312" w:cs="Times New Roman"/>
                <w:sz w:val="19"/>
                <w:szCs w:val="19"/>
              </w:rPr>
            </w:pPr>
            <w:r>
              <w:rPr>
                <w:rFonts w:hint="default" w:ascii="Times New Roman" w:hAnsi="Times New Roman" w:eastAsia="仿宋_GB2312" w:cs="Times New Roman"/>
                <w:spacing w:val="7"/>
                <w:sz w:val="19"/>
                <w:szCs w:val="19"/>
              </w:rPr>
              <w:t>是</w:t>
            </w:r>
            <w:r>
              <w:rPr>
                <w:rFonts w:hint="default" w:ascii="Times New Roman" w:hAnsi="Times New Roman" w:eastAsia="仿宋_GB2312" w:cs="Times New Roman"/>
                <w:spacing w:val="6"/>
                <w:sz w:val="19"/>
                <w:szCs w:val="19"/>
              </w:rPr>
              <w:t>否配建</w:t>
            </w:r>
          </w:p>
        </w:tc>
        <w:tc>
          <w:tcPr>
            <w:tcW w:w="1926" w:type="dxa"/>
            <w:tcBorders>
              <w:right w:val="nil"/>
            </w:tcBorders>
          </w:tcPr>
          <w:p w14:paraId="5F2362FC">
            <w:pPr>
              <w:spacing w:before="144" w:line="229" w:lineRule="auto"/>
              <w:ind w:right="39"/>
              <w:jc w:val="right"/>
              <w:rPr>
                <w:rFonts w:hint="default" w:ascii="Times New Roman" w:hAnsi="Times New Roman" w:eastAsia="仿宋_GB2312" w:cs="Times New Roman"/>
                <w:sz w:val="19"/>
                <w:szCs w:val="19"/>
              </w:rPr>
            </w:pPr>
            <w:r>
              <w:rPr>
                <w:rFonts w:hint="default" w:ascii="Times New Roman" w:hAnsi="Times New Roman" w:eastAsia="仿宋_GB2312" w:cs="Times New Roman"/>
                <w:spacing w:val="-2"/>
                <w:sz w:val="19"/>
                <w:szCs w:val="19"/>
              </w:rPr>
              <w:t>□是</w:t>
            </w:r>
          </w:p>
        </w:tc>
        <w:tc>
          <w:tcPr>
            <w:tcW w:w="2445" w:type="dxa"/>
            <w:tcBorders>
              <w:left w:val="nil"/>
            </w:tcBorders>
          </w:tcPr>
          <w:p w14:paraId="669094FA">
            <w:pPr>
              <w:spacing w:before="144" w:line="229" w:lineRule="auto"/>
              <w:ind w:left="585"/>
              <w:rPr>
                <w:rFonts w:hint="default" w:ascii="Times New Roman" w:hAnsi="Times New Roman" w:eastAsia="仿宋_GB2312" w:cs="Times New Roman"/>
                <w:sz w:val="19"/>
                <w:szCs w:val="19"/>
              </w:rPr>
            </w:pPr>
            <w:r>
              <w:rPr>
                <w:rFonts w:hint="default" w:ascii="Times New Roman" w:hAnsi="Times New Roman" w:eastAsia="仿宋_GB2312" w:cs="Times New Roman"/>
                <w:spacing w:val="-3"/>
                <w:sz w:val="19"/>
                <w:szCs w:val="19"/>
              </w:rPr>
              <w:t>□</w:t>
            </w:r>
            <w:r>
              <w:rPr>
                <w:rFonts w:hint="default" w:ascii="Times New Roman" w:hAnsi="Times New Roman" w:eastAsia="仿宋_GB2312" w:cs="Times New Roman"/>
                <w:spacing w:val="-2"/>
                <w:sz w:val="19"/>
                <w:szCs w:val="19"/>
              </w:rPr>
              <w:t>否</w:t>
            </w:r>
          </w:p>
        </w:tc>
      </w:tr>
      <w:tr w14:paraId="56F130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jc w:val="center"/>
        </w:trPr>
        <w:tc>
          <w:tcPr>
            <w:tcW w:w="538" w:type="dxa"/>
            <w:vMerge w:val="continue"/>
            <w:textDirection w:val="tbRlV"/>
          </w:tcPr>
          <w:p w14:paraId="014B2B41">
            <w:pPr>
              <w:rPr>
                <w:rFonts w:hint="default" w:ascii="Times New Roman" w:hAnsi="Times New Roman" w:eastAsia="仿宋_GB2312" w:cs="Times New Roman"/>
              </w:rPr>
            </w:pPr>
          </w:p>
        </w:tc>
        <w:tc>
          <w:tcPr>
            <w:tcW w:w="1134" w:type="dxa"/>
            <w:vMerge w:val="continue"/>
          </w:tcPr>
          <w:p w14:paraId="5716B4C0">
            <w:pPr>
              <w:rPr>
                <w:rFonts w:hint="default" w:ascii="Times New Roman" w:hAnsi="Times New Roman" w:eastAsia="仿宋_GB2312" w:cs="Times New Roman"/>
              </w:rPr>
            </w:pPr>
          </w:p>
        </w:tc>
        <w:tc>
          <w:tcPr>
            <w:tcW w:w="424" w:type="dxa"/>
            <w:vMerge w:val="continue"/>
            <w:tcBorders>
              <w:top w:val="nil"/>
              <w:bottom w:val="nil"/>
            </w:tcBorders>
          </w:tcPr>
          <w:p w14:paraId="2FBCBD9E">
            <w:pPr>
              <w:rPr>
                <w:rFonts w:hint="default" w:ascii="Times New Roman" w:hAnsi="Times New Roman" w:eastAsia="仿宋_GB2312" w:cs="Times New Roman"/>
              </w:rPr>
            </w:pPr>
          </w:p>
        </w:tc>
        <w:tc>
          <w:tcPr>
            <w:tcW w:w="1277" w:type="dxa"/>
            <w:vMerge w:val="continue"/>
            <w:tcBorders>
              <w:top w:val="nil"/>
              <w:bottom w:val="nil"/>
            </w:tcBorders>
          </w:tcPr>
          <w:p w14:paraId="0393737E">
            <w:pPr>
              <w:rPr>
                <w:rFonts w:hint="default" w:ascii="Times New Roman" w:hAnsi="Times New Roman" w:eastAsia="仿宋_GB2312" w:cs="Times New Roman"/>
              </w:rPr>
            </w:pPr>
          </w:p>
        </w:tc>
        <w:tc>
          <w:tcPr>
            <w:tcW w:w="2152" w:type="dxa"/>
          </w:tcPr>
          <w:p w14:paraId="4E48E017">
            <w:pPr>
              <w:spacing w:line="289" w:lineRule="auto"/>
              <w:rPr>
                <w:rFonts w:hint="default" w:ascii="Times New Roman" w:hAnsi="Times New Roman" w:eastAsia="仿宋_GB2312" w:cs="Times New Roman"/>
              </w:rPr>
            </w:pPr>
          </w:p>
          <w:p w14:paraId="75FEA623">
            <w:pPr>
              <w:spacing w:before="62" w:line="227" w:lineRule="auto"/>
              <w:ind w:left="122"/>
              <w:rPr>
                <w:rFonts w:hint="default" w:ascii="Times New Roman" w:hAnsi="Times New Roman" w:eastAsia="仿宋_GB2312" w:cs="Times New Roman"/>
                <w:sz w:val="19"/>
                <w:szCs w:val="19"/>
              </w:rPr>
            </w:pPr>
            <w:r>
              <w:rPr>
                <w:rFonts w:hint="default" w:ascii="Times New Roman" w:hAnsi="Times New Roman" w:eastAsia="仿宋_GB2312" w:cs="Times New Roman"/>
                <w:spacing w:val="7"/>
                <w:sz w:val="19"/>
                <w:szCs w:val="19"/>
              </w:rPr>
              <w:t>面积是否达标</w:t>
            </w:r>
          </w:p>
        </w:tc>
        <w:tc>
          <w:tcPr>
            <w:tcW w:w="4371" w:type="dxa"/>
            <w:gridSpan w:val="2"/>
          </w:tcPr>
          <w:p w14:paraId="336C53ED">
            <w:pPr>
              <w:spacing w:before="58" w:line="229" w:lineRule="auto"/>
              <w:ind w:left="1507"/>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w:t>
            </w:r>
            <w:r>
              <w:rPr>
                <w:rFonts w:hint="default" w:ascii="Times New Roman" w:hAnsi="Times New Roman" w:eastAsia="仿宋_GB2312" w:cs="Times New Roman"/>
                <w:spacing w:val="6"/>
                <w:sz w:val="19"/>
                <w:szCs w:val="19"/>
              </w:rPr>
              <w:t>是</w:t>
            </w:r>
            <w:r>
              <w:rPr>
                <w:rFonts w:hint="default" w:ascii="Times New Roman" w:hAnsi="Times New Roman" w:eastAsia="仿宋_GB2312" w:cs="Times New Roman"/>
                <w:spacing w:val="4"/>
                <w:sz w:val="19"/>
                <w:szCs w:val="19"/>
              </w:rPr>
              <w:t xml:space="preserve">      □否</w:t>
            </w:r>
          </w:p>
          <w:p w14:paraId="0F889C0A">
            <w:pPr>
              <w:spacing w:before="42" w:line="228" w:lineRule="auto"/>
              <w:ind w:left="791"/>
              <w:rPr>
                <w:rFonts w:hint="default" w:ascii="Times New Roman" w:hAnsi="Times New Roman" w:eastAsia="仿宋_GB2312" w:cs="Times New Roman"/>
                <w:sz w:val="19"/>
                <w:szCs w:val="19"/>
              </w:rPr>
            </w:pPr>
            <w:r>
              <w:rPr>
                <w:rFonts w:hint="default" w:ascii="Times New Roman" w:hAnsi="Times New Roman" w:eastAsia="仿宋_GB2312" w:cs="Times New Roman"/>
                <w:spacing w:val="12"/>
                <w:sz w:val="19"/>
                <w:szCs w:val="19"/>
              </w:rPr>
              <w:t>建</w:t>
            </w:r>
            <w:r>
              <w:rPr>
                <w:rFonts w:hint="default" w:ascii="Times New Roman" w:hAnsi="Times New Roman" w:eastAsia="仿宋_GB2312" w:cs="Times New Roman"/>
                <w:spacing w:val="8"/>
                <w:sz w:val="19"/>
                <w:szCs w:val="19"/>
              </w:rPr>
              <w:t>筑</w:t>
            </w:r>
            <w:r>
              <w:rPr>
                <w:rFonts w:hint="default" w:ascii="Times New Roman" w:hAnsi="Times New Roman" w:eastAsia="仿宋_GB2312" w:cs="Times New Roman"/>
                <w:spacing w:val="6"/>
                <w:sz w:val="19"/>
                <w:szCs w:val="19"/>
              </w:rPr>
              <w:t>面积：____________平方米</w:t>
            </w:r>
          </w:p>
          <w:p w14:paraId="529C7013">
            <w:pPr>
              <w:spacing w:before="48" w:line="227" w:lineRule="auto"/>
              <w:ind w:left="796"/>
              <w:rPr>
                <w:rFonts w:hint="default" w:ascii="Times New Roman" w:hAnsi="Times New Roman" w:eastAsia="仿宋_GB2312" w:cs="Times New Roman"/>
                <w:sz w:val="19"/>
                <w:szCs w:val="19"/>
              </w:rPr>
            </w:pPr>
            <w:r>
              <w:rPr>
                <w:rFonts w:hint="default" w:ascii="Times New Roman" w:hAnsi="Times New Roman" w:eastAsia="仿宋_GB2312" w:cs="Times New Roman"/>
                <w:spacing w:val="12"/>
                <w:sz w:val="19"/>
                <w:szCs w:val="19"/>
              </w:rPr>
              <w:t>（</w:t>
            </w:r>
            <w:r>
              <w:rPr>
                <w:rFonts w:hint="default" w:ascii="Times New Roman" w:hAnsi="Times New Roman" w:eastAsia="仿宋_GB2312" w:cs="Times New Roman"/>
                <w:spacing w:val="10"/>
                <w:sz w:val="19"/>
                <w:szCs w:val="19"/>
              </w:rPr>
              <w:t>建</w:t>
            </w:r>
            <w:r>
              <w:rPr>
                <w:rFonts w:hint="default" w:ascii="Times New Roman" w:hAnsi="Times New Roman" w:eastAsia="仿宋_GB2312" w:cs="Times New Roman"/>
                <w:spacing w:val="6"/>
                <w:sz w:val="19"/>
                <w:szCs w:val="19"/>
              </w:rPr>
              <w:t>筑面积不小于 200 平方米）</w:t>
            </w:r>
          </w:p>
        </w:tc>
      </w:tr>
      <w:tr w14:paraId="4EC09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jc w:val="center"/>
        </w:trPr>
        <w:tc>
          <w:tcPr>
            <w:tcW w:w="538" w:type="dxa"/>
            <w:vMerge w:val="continue"/>
            <w:textDirection w:val="tbRlV"/>
          </w:tcPr>
          <w:p w14:paraId="2548CD74">
            <w:pPr>
              <w:rPr>
                <w:rFonts w:hint="default" w:ascii="Times New Roman" w:hAnsi="Times New Roman" w:eastAsia="仿宋_GB2312" w:cs="Times New Roman"/>
              </w:rPr>
            </w:pPr>
          </w:p>
        </w:tc>
        <w:tc>
          <w:tcPr>
            <w:tcW w:w="1134" w:type="dxa"/>
            <w:vMerge w:val="continue"/>
          </w:tcPr>
          <w:p w14:paraId="57AB028B">
            <w:pPr>
              <w:rPr>
                <w:rFonts w:hint="default" w:ascii="Times New Roman" w:hAnsi="Times New Roman" w:eastAsia="仿宋_GB2312" w:cs="Times New Roman"/>
              </w:rPr>
            </w:pPr>
          </w:p>
        </w:tc>
        <w:tc>
          <w:tcPr>
            <w:tcW w:w="424" w:type="dxa"/>
            <w:vMerge w:val="continue"/>
            <w:tcBorders>
              <w:top w:val="nil"/>
            </w:tcBorders>
          </w:tcPr>
          <w:p w14:paraId="18EBDB5A">
            <w:pPr>
              <w:rPr>
                <w:rFonts w:hint="default" w:ascii="Times New Roman" w:hAnsi="Times New Roman" w:eastAsia="仿宋_GB2312" w:cs="Times New Roman"/>
              </w:rPr>
            </w:pPr>
          </w:p>
        </w:tc>
        <w:tc>
          <w:tcPr>
            <w:tcW w:w="1277" w:type="dxa"/>
            <w:vMerge w:val="continue"/>
            <w:tcBorders>
              <w:top w:val="nil"/>
            </w:tcBorders>
          </w:tcPr>
          <w:p w14:paraId="034E08DD">
            <w:pPr>
              <w:rPr>
                <w:rFonts w:hint="default" w:ascii="Times New Roman" w:hAnsi="Times New Roman" w:eastAsia="仿宋_GB2312" w:cs="Times New Roman"/>
              </w:rPr>
            </w:pPr>
          </w:p>
        </w:tc>
        <w:tc>
          <w:tcPr>
            <w:tcW w:w="2152" w:type="dxa"/>
          </w:tcPr>
          <w:p w14:paraId="4332D35C">
            <w:pPr>
              <w:spacing w:before="195" w:line="224" w:lineRule="auto"/>
              <w:ind w:left="121"/>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存</w:t>
            </w:r>
            <w:r>
              <w:rPr>
                <w:rFonts w:hint="default" w:ascii="Times New Roman" w:hAnsi="Times New Roman" w:eastAsia="仿宋_GB2312" w:cs="Times New Roman"/>
                <w:spacing w:val="7"/>
                <w:sz w:val="19"/>
                <w:szCs w:val="19"/>
              </w:rPr>
              <w:t>在哪些问题</w:t>
            </w:r>
          </w:p>
        </w:tc>
        <w:tc>
          <w:tcPr>
            <w:tcW w:w="4371" w:type="dxa"/>
            <w:gridSpan w:val="2"/>
          </w:tcPr>
          <w:p w14:paraId="18EB116B">
            <w:pPr>
              <w:spacing w:before="55" w:line="247" w:lineRule="auto"/>
              <w:ind w:left="118" w:right="262" w:firstLine="14"/>
              <w:rPr>
                <w:rFonts w:hint="default" w:ascii="Times New Roman" w:hAnsi="Times New Roman" w:eastAsia="仿宋_GB2312" w:cs="Times New Roman"/>
                <w:sz w:val="19"/>
                <w:szCs w:val="19"/>
              </w:rPr>
            </w:pPr>
            <w:r>
              <w:rPr>
                <w:rFonts w:hint="default" w:ascii="Times New Roman" w:hAnsi="Times New Roman" w:eastAsia="仿宋_GB2312" w:cs="Times New Roman"/>
                <w:spacing w:val="16"/>
                <w:sz w:val="19"/>
                <w:szCs w:val="19"/>
              </w:rPr>
              <w:t>□</w:t>
            </w:r>
            <w:r>
              <w:rPr>
                <w:rFonts w:hint="default" w:ascii="Times New Roman" w:hAnsi="Times New Roman" w:eastAsia="仿宋_GB2312" w:cs="Times New Roman"/>
                <w:spacing w:val="11"/>
                <w:sz w:val="19"/>
                <w:szCs w:val="19"/>
              </w:rPr>
              <w:t>存</w:t>
            </w:r>
            <w:r>
              <w:rPr>
                <w:rFonts w:hint="default" w:ascii="Times New Roman" w:hAnsi="Times New Roman" w:eastAsia="仿宋_GB2312" w:cs="Times New Roman"/>
                <w:spacing w:val="8"/>
                <w:sz w:val="19"/>
                <w:szCs w:val="19"/>
              </w:rPr>
              <w:t>在对婴幼儿早期发展指导等照护服务不到</w:t>
            </w:r>
            <w:r>
              <w:rPr>
                <w:rFonts w:hint="default" w:ascii="Times New Roman" w:hAnsi="Times New Roman" w:eastAsia="仿宋_GB2312" w:cs="Times New Roman"/>
                <w:sz w:val="19"/>
                <w:szCs w:val="19"/>
              </w:rPr>
              <w:t xml:space="preserve"> </w:t>
            </w:r>
            <w:r>
              <w:rPr>
                <w:rFonts w:hint="default" w:ascii="Times New Roman" w:hAnsi="Times New Roman" w:eastAsia="仿宋_GB2312" w:cs="Times New Roman"/>
                <w:spacing w:val="7"/>
                <w:sz w:val="19"/>
                <w:szCs w:val="19"/>
              </w:rPr>
              <w:t>位的问题，具体问题为：___________</w:t>
            </w:r>
            <w:r>
              <w:rPr>
                <w:rFonts w:hint="default" w:ascii="Times New Roman" w:hAnsi="Times New Roman" w:eastAsia="仿宋_GB2312" w:cs="Times New Roman"/>
                <w:spacing w:val="4"/>
                <w:sz w:val="19"/>
                <w:szCs w:val="19"/>
              </w:rPr>
              <w:t>_</w:t>
            </w:r>
          </w:p>
        </w:tc>
      </w:tr>
      <w:tr w14:paraId="6E2981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38" w:type="dxa"/>
            <w:vMerge w:val="continue"/>
            <w:textDirection w:val="tbRlV"/>
          </w:tcPr>
          <w:p w14:paraId="00CCFEEC">
            <w:pPr>
              <w:rPr>
                <w:rFonts w:hint="default" w:ascii="Times New Roman" w:hAnsi="Times New Roman" w:eastAsia="仿宋_GB2312" w:cs="Times New Roman"/>
              </w:rPr>
            </w:pPr>
          </w:p>
        </w:tc>
        <w:tc>
          <w:tcPr>
            <w:tcW w:w="1134" w:type="dxa"/>
            <w:vMerge w:val="continue"/>
          </w:tcPr>
          <w:p w14:paraId="6235B20D">
            <w:pPr>
              <w:rPr>
                <w:rFonts w:hint="default" w:ascii="Times New Roman" w:hAnsi="Times New Roman" w:eastAsia="仿宋_GB2312" w:cs="Times New Roman"/>
              </w:rPr>
            </w:pPr>
          </w:p>
        </w:tc>
        <w:tc>
          <w:tcPr>
            <w:tcW w:w="424" w:type="dxa"/>
            <w:vMerge w:val="restart"/>
            <w:tcBorders>
              <w:bottom w:val="nil"/>
            </w:tcBorders>
          </w:tcPr>
          <w:p w14:paraId="3063A26E">
            <w:pPr>
              <w:spacing w:line="283" w:lineRule="auto"/>
              <w:rPr>
                <w:rFonts w:hint="default" w:ascii="Times New Roman" w:hAnsi="Times New Roman" w:eastAsia="仿宋_GB2312" w:cs="Times New Roman"/>
              </w:rPr>
            </w:pPr>
          </w:p>
          <w:p w14:paraId="087C30A3">
            <w:pPr>
              <w:spacing w:line="284" w:lineRule="auto"/>
              <w:rPr>
                <w:rFonts w:hint="default" w:ascii="Times New Roman" w:hAnsi="Times New Roman" w:eastAsia="仿宋_GB2312" w:cs="Times New Roman"/>
              </w:rPr>
            </w:pPr>
          </w:p>
          <w:p w14:paraId="270D46E0">
            <w:pPr>
              <w:spacing w:line="284" w:lineRule="auto"/>
              <w:rPr>
                <w:rFonts w:hint="default" w:ascii="Times New Roman" w:hAnsi="Times New Roman" w:eastAsia="仿宋_GB2312" w:cs="Times New Roman"/>
              </w:rPr>
            </w:pPr>
          </w:p>
          <w:p w14:paraId="45356C5F">
            <w:pPr>
              <w:spacing w:line="284" w:lineRule="auto"/>
              <w:rPr>
                <w:rFonts w:hint="default" w:ascii="Times New Roman" w:hAnsi="Times New Roman" w:eastAsia="仿宋_GB2312" w:cs="Times New Roman"/>
              </w:rPr>
            </w:pPr>
          </w:p>
          <w:p w14:paraId="591ABE9A">
            <w:pPr>
              <w:spacing w:before="61" w:line="184" w:lineRule="auto"/>
              <w:ind w:left="167"/>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rPr>
              <w:t>3</w:t>
            </w:r>
          </w:p>
        </w:tc>
        <w:tc>
          <w:tcPr>
            <w:tcW w:w="1277" w:type="dxa"/>
            <w:vMerge w:val="restart"/>
            <w:tcBorders>
              <w:bottom w:val="nil"/>
            </w:tcBorders>
          </w:tcPr>
          <w:p w14:paraId="60E16CCE">
            <w:pPr>
              <w:spacing w:line="274" w:lineRule="auto"/>
              <w:rPr>
                <w:rFonts w:hint="default" w:ascii="Times New Roman" w:hAnsi="Times New Roman" w:eastAsia="仿宋_GB2312" w:cs="Times New Roman"/>
              </w:rPr>
            </w:pPr>
          </w:p>
          <w:p w14:paraId="54FF3F6A">
            <w:pPr>
              <w:spacing w:line="274" w:lineRule="auto"/>
              <w:rPr>
                <w:rFonts w:hint="default" w:ascii="Times New Roman" w:hAnsi="Times New Roman" w:eastAsia="仿宋_GB2312" w:cs="Times New Roman"/>
              </w:rPr>
            </w:pPr>
          </w:p>
          <w:p w14:paraId="72F98D9A">
            <w:pPr>
              <w:spacing w:line="275" w:lineRule="auto"/>
              <w:rPr>
                <w:rFonts w:hint="default" w:ascii="Times New Roman" w:hAnsi="Times New Roman" w:eastAsia="仿宋_GB2312" w:cs="Times New Roman"/>
              </w:rPr>
            </w:pPr>
          </w:p>
          <w:p w14:paraId="14DBE60D">
            <w:pPr>
              <w:spacing w:line="275" w:lineRule="auto"/>
              <w:rPr>
                <w:rFonts w:hint="default" w:ascii="Times New Roman" w:hAnsi="Times New Roman" w:eastAsia="仿宋_GB2312" w:cs="Times New Roman"/>
              </w:rPr>
            </w:pPr>
          </w:p>
          <w:p w14:paraId="13C86C39">
            <w:pPr>
              <w:spacing w:before="62" w:line="228" w:lineRule="auto"/>
              <w:ind w:left="356"/>
              <w:rPr>
                <w:rFonts w:hint="default" w:ascii="Times New Roman" w:hAnsi="Times New Roman" w:eastAsia="仿宋_GB2312" w:cs="Times New Roman"/>
                <w:sz w:val="19"/>
                <w:szCs w:val="19"/>
              </w:rPr>
            </w:pPr>
            <w:r>
              <w:rPr>
                <w:rFonts w:hint="default" w:ascii="Times New Roman" w:hAnsi="Times New Roman" w:eastAsia="仿宋_GB2312" w:cs="Times New Roman"/>
                <w:spacing w:val="3"/>
                <w:sz w:val="19"/>
                <w:szCs w:val="19"/>
              </w:rPr>
              <w:t>幼儿</w:t>
            </w:r>
            <w:r>
              <w:rPr>
                <w:rFonts w:hint="default" w:ascii="Times New Roman" w:hAnsi="Times New Roman" w:eastAsia="仿宋_GB2312" w:cs="Times New Roman"/>
                <w:spacing w:val="2"/>
                <w:sz w:val="19"/>
                <w:szCs w:val="19"/>
              </w:rPr>
              <w:t>园</w:t>
            </w:r>
          </w:p>
        </w:tc>
        <w:tc>
          <w:tcPr>
            <w:tcW w:w="2152" w:type="dxa"/>
          </w:tcPr>
          <w:p w14:paraId="2D8D701C">
            <w:pPr>
              <w:spacing w:before="144" w:line="229" w:lineRule="auto"/>
              <w:ind w:left="119"/>
              <w:rPr>
                <w:rFonts w:hint="default" w:ascii="Times New Roman" w:hAnsi="Times New Roman" w:eastAsia="仿宋_GB2312" w:cs="Times New Roman"/>
                <w:sz w:val="19"/>
                <w:szCs w:val="19"/>
              </w:rPr>
            </w:pPr>
            <w:r>
              <w:rPr>
                <w:rFonts w:hint="default" w:ascii="Times New Roman" w:hAnsi="Times New Roman" w:eastAsia="仿宋_GB2312" w:cs="Times New Roman"/>
                <w:spacing w:val="7"/>
                <w:sz w:val="19"/>
                <w:szCs w:val="19"/>
              </w:rPr>
              <w:t>是</w:t>
            </w:r>
            <w:r>
              <w:rPr>
                <w:rFonts w:hint="default" w:ascii="Times New Roman" w:hAnsi="Times New Roman" w:eastAsia="仿宋_GB2312" w:cs="Times New Roman"/>
                <w:spacing w:val="6"/>
                <w:sz w:val="19"/>
                <w:szCs w:val="19"/>
              </w:rPr>
              <w:t>否配建</w:t>
            </w:r>
          </w:p>
        </w:tc>
        <w:tc>
          <w:tcPr>
            <w:tcW w:w="1926" w:type="dxa"/>
            <w:tcBorders>
              <w:right w:val="nil"/>
            </w:tcBorders>
          </w:tcPr>
          <w:p w14:paraId="58577258">
            <w:pPr>
              <w:spacing w:before="144" w:line="229" w:lineRule="auto"/>
              <w:ind w:right="39"/>
              <w:jc w:val="right"/>
              <w:rPr>
                <w:rFonts w:hint="default" w:ascii="Times New Roman" w:hAnsi="Times New Roman" w:eastAsia="仿宋_GB2312" w:cs="Times New Roman"/>
                <w:sz w:val="19"/>
                <w:szCs w:val="19"/>
              </w:rPr>
            </w:pPr>
            <w:r>
              <w:rPr>
                <w:rFonts w:hint="default" w:ascii="Times New Roman" w:hAnsi="Times New Roman" w:eastAsia="仿宋_GB2312" w:cs="Times New Roman"/>
                <w:spacing w:val="-2"/>
                <w:sz w:val="19"/>
                <w:szCs w:val="19"/>
              </w:rPr>
              <w:t>□是</w:t>
            </w:r>
          </w:p>
        </w:tc>
        <w:tc>
          <w:tcPr>
            <w:tcW w:w="2445" w:type="dxa"/>
            <w:tcBorders>
              <w:left w:val="nil"/>
            </w:tcBorders>
          </w:tcPr>
          <w:p w14:paraId="7C2F04B4">
            <w:pPr>
              <w:spacing w:before="144" w:line="229" w:lineRule="auto"/>
              <w:ind w:left="585"/>
              <w:rPr>
                <w:rFonts w:hint="default" w:ascii="Times New Roman" w:hAnsi="Times New Roman" w:eastAsia="仿宋_GB2312" w:cs="Times New Roman"/>
                <w:sz w:val="19"/>
                <w:szCs w:val="19"/>
              </w:rPr>
            </w:pPr>
            <w:r>
              <w:rPr>
                <w:rFonts w:hint="default" w:ascii="Times New Roman" w:hAnsi="Times New Roman" w:eastAsia="仿宋_GB2312" w:cs="Times New Roman"/>
                <w:spacing w:val="-3"/>
                <w:sz w:val="19"/>
                <w:szCs w:val="19"/>
              </w:rPr>
              <w:t>□</w:t>
            </w:r>
            <w:r>
              <w:rPr>
                <w:rFonts w:hint="default" w:ascii="Times New Roman" w:hAnsi="Times New Roman" w:eastAsia="仿宋_GB2312" w:cs="Times New Roman"/>
                <w:spacing w:val="-2"/>
                <w:sz w:val="19"/>
                <w:szCs w:val="19"/>
              </w:rPr>
              <w:t>否</w:t>
            </w:r>
          </w:p>
        </w:tc>
      </w:tr>
      <w:tr w14:paraId="0A4635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9" w:hRule="atLeast"/>
          <w:jc w:val="center"/>
        </w:trPr>
        <w:tc>
          <w:tcPr>
            <w:tcW w:w="538" w:type="dxa"/>
            <w:vMerge w:val="continue"/>
            <w:textDirection w:val="tbRlV"/>
          </w:tcPr>
          <w:p w14:paraId="24796EA3">
            <w:pPr>
              <w:rPr>
                <w:rFonts w:hint="default" w:ascii="Times New Roman" w:hAnsi="Times New Roman" w:eastAsia="仿宋_GB2312" w:cs="Times New Roman"/>
              </w:rPr>
            </w:pPr>
          </w:p>
        </w:tc>
        <w:tc>
          <w:tcPr>
            <w:tcW w:w="1134" w:type="dxa"/>
            <w:vMerge w:val="continue"/>
          </w:tcPr>
          <w:p w14:paraId="51E7A703">
            <w:pPr>
              <w:rPr>
                <w:rFonts w:hint="default" w:ascii="Times New Roman" w:hAnsi="Times New Roman" w:eastAsia="仿宋_GB2312" w:cs="Times New Roman"/>
              </w:rPr>
            </w:pPr>
          </w:p>
        </w:tc>
        <w:tc>
          <w:tcPr>
            <w:tcW w:w="424" w:type="dxa"/>
            <w:vMerge w:val="continue"/>
            <w:tcBorders>
              <w:top w:val="nil"/>
              <w:bottom w:val="nil"/>
            </w:tcBorders>
          </w:tcPr>
          <w:p w14:paraId="70FCEEA2">
            <w:pPr>
              <w:rPr>
                <w:rFonts w:hint="default" w:ascii="Times New Roman" w:hAnsi="Times New Roman" w:eastAsia="仿宋_GB2312" w:cs="Times New Roman"/>
              </w:rPr>
            </w:pPr>
          </w:p>
        </w:tc>
        <w:tc>
          <w:tcPr>
            <w:tcW w:w="1277" w:type="dxa"/>
            <w:vMerge w:val="continue"/>
            <w:tcBorders>
              <w:top w:val="nil"/>
              <w:bottom w:val="nil"/>
            </w:tcBorders>
          </w:tcPr>
          <w:p w14:paraId="64CF1890">
            <w:pPr>
              <w:rPr>
                <w:rFonts w:hint="default" w:ascii="Times New Roman" w:hAnsi="Times New Roman" w:eastAsia="仿宋_GB2312" w:cs="Times New Roman"/>
              </w:rPr>
            </w:pPr>
          </w:p>
        </w:tc>
        <w:tc>
          <w:tcPr>
            <w:tcW w:w="2152" w:type="dxa"/>
          </w:tcPr>
          <w:p w14:paraId="00C062B6">
            <w:pPr>
              <w:spacing w:line="291" w:lineRule="auto"/>
              <w:rPr>
                <w:rFonts w:hint="default" w:ascii="Times New Roman" w:hAnsi="Times New Roman" w:eastAsia="仿宋_GB2312" w:cs="Times New Roman"/>
              </w:rPr>
            </w:pPr>
          </w:p>
          <w:p w14:paraId="336BD031">
            <w:pPr>
              <w:spacing w:line="292" w:lineRule="auto"/>
              <w:rPr>
                <w:rFonts w:hint="default" w:ascii="Times New Roman" w:hAnsi="Times New Roman" w:eastAsia="仿宋_GB2312" w:cs="Times New Roman"/>
              </w:rPr>
            </w:pPr>
          </w:p>
          <w:p w14:paraId="7E16D654">
            <w:pPr>
              <w:spacing w:before="62" w:line="227" w:lineRule="auto"/>
              <w:ind w:left="122"/>
              <w:rPr>
                <w:rFonts w:hint="default" w:ascii="Times New Roman" w:hAnsi="Times New Roman" w:eastAsia="仿宋_GB2312" w:cs="Times New Roman"/>
                <w:sz w:val="19"/>
                <w:szCs w:val="19"/>
              </w:rPr>
            </w:pPr>
            <w:r>
              <w:rPr>
                <w:rFonts w:hint="default" w:ascii="Times New Roman" w:hAnsi="Times New Roman" w:eastAsia="仿宋_GB2312" w:cs="Times New Roman"/>
                <w:spacing w:val="7"/>
                <w:sz w:val="19"/>
                <w:szCs w:val="19"/>
              </w:rPr>
              <w:t>面积是否达标</w:t>
            </w:r>
          </w:p>
        </w:tc>
        <w:tc>
          <w:tcPr>
            <w:tcW w:w="4371" w:type="dxa"/>
            <w:gridSpan w:val="2"/>
          </w:tcPr>
          <w:p w14:paraId="3AC55300">
            <w:pPr>
              <w:spacing w:before="56" w:line="229" w:lineRule="auto"/>
              <w:ind w:left="1507"/>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w:t>
            </w:r>
            <w:r>
              <w:rPr>
                <w:rFonts w:hint="default" w:ascii="Times New Roman" w:hAnsi="Times New Roman" w:eastAsia="仿宋_GB2312" w:cs="Times New Roman"/>
                <w:spacing w:val="6"/>
                <w:sz w:val="19"/>
                <w:szCs w:val="19"/>
              </w:rPr>
              <w:t>是</w:t>
            </w:r>
            <w:r>
              <w:rPr>
                <w:rFonts w:hint="default" w:ascii="Times New Roman" w:hAnsi="Times New Roman" w:eastAsia="仿宋_GB2312" w:cs="Times New Roman"/>
                <w:spacing w:val="4"/>
                <w:sz w:val="19"/>
                <w:szCs w:val="19"/>
              </w:rPr>
              <w:t xml:space="preserve">      □否</w:t>
            </w:r>
          </w:p>
          <w:p w14:paraId="26CE054E">
            <w:pPr>
              <w:spacing w:before="44" w:line="228" w:lineRule="auto"/>
              <w:ind w:left="791"/>
              <w:rPr>
                <w:rFonts w:hint="default" w:ascii="Times New Roman" w:hAnsi="Times New Roman" w:eastAsia="仿宋_GB2312" w:cs="Times New Roman"/>
                <w:sz w:val="19"/>
                <w:szCs w:val="19"/>
              </w:rPr>
            </w:pPr>
            <w:r>
              <w:rPr>
                <w:rFonts w:hint="default" w:ascii="Times New Roman" w:hAnsi="Times New Roman" w:eastAsia="仿宋_GB2312" w:cs="Times New Roman"/>
                <w:spacing w:val="12"/>
                <w:sz w:val="19"/>
                <w:szCs w:val="19"/>
              </w:rPr>
              <w:t>建</w:t>
            </w:r>
            <w:r>
              <w:rPr>
                <w:rFonts w:hint="default" w:ascii="Times New Roman" w:hAnsi="Times New Roman" w:eastAsia="仿宋_GB2312" w:cs="Times New Roman"/>
                <w:spacing w:val="8"/>
                <w:sz w:val="19"/>
                <w:szCs w:val="19"/>
              </w:rPr>
              <w:t>筑</w:t>
            </w:r>
            <w:r>
              <w:rPr>
                <w:rFonts w:hint="default" w:ascii="Times New Roman" w:hAnsi="Times New Roman" w:eastAsia="仿宋_GB2312" w:cs="Times New Roman"/>
                <w:spacing w:val="6"/>
                <w:sz w:val="19"/>
                <w:szCs w:val="19"/>
              </w:rPr>
              <w:t>面积：____________平方米</w:t>
            </w:r>
          </w:p>
          <w:p w14:paraId="6ADD88C4">
            <w:pPr>
              <w:spacing w:before="43" w:line="228" w:lineRule="auto"/>
              <w:ind w:left="791"/>
              <w:rPr>
                <w:rFonts w:hint="default" w:ascii="Times New Roman" w:hAnsi="Times New Roman" w:eastAsia="仿宋_GB2312" w:cs="Times New Roman"/>
                <w:sz w:val="19"/>
                <w:szCs w:val="19"/>
              </w:rPr>
            </w:pPr>
            <w:r>
              <w:rPr>
                <w:rFonts w:hint="default" w:ascii="Times New Roman" w:hAnsi="Times New Roman" w:eastAsia="仿宋_GB2312" w:cs="Times New Roman"/>
                <w:spacing w:val="12"/>
                <w:sz w:val="19"/>
                <w:szCs w:val="19"/>
              </w:rPr>
              <w:t>用</w:t>
            </w:r>
            <w:r>
              <w:rPr>
                <w:rFonts w:hint="default" w:ascii="Times New Roman" w:hAnsi="Times New Roman" w:eastAsia="仿宋_GB2312" w:cs="Times New Roman"/>
                <w:spacing w:val="8"/>
                <w:sz w:val="19"/>
                <w:szCs w:val="19"/>
              </w:rPr>
              <w:t>地</w:t>
            </w:r>
            <w:r>
              <w:rPr>
                <w:rFonts w:hint="default" w:ascii="Times New Roman" w:hAnsi="Times New Roman" w:eastAsia="仿宋_GB2312" w:cs="Times New Roman"/>
                <w:spacing w:val="6"/>
                <w:sz w:val="19"/>
                <w:szCs w:val="19"/>
              </w:rPr>
              <w:t>面积：____________平方米</w:t>
            </w:r>
          </w:p>
          <w:p w14:paraId="23DD85A6">
            <w:pPr>
              <w:spacing w:before="49" w:line="265" w:lineRule="auto"/>
              <w:ind w:left="121" w:right="162"/>
              <w:rPr>
                <w:rFonts w:hint="default" w:ascii="Times New Roman" w:hAnsi="Times New Roman" w:eastAsia="仿宋_GB2312" w:cs="Times New Roman"/>
                <w:sz w:val="19"/>
                <w:szCs w:val="19"/>
              </w:rPr>
            </w:pPr>
            <w:r>
              <w:rPr>
                <w:rFonts w:hint="default" w:ascii="Times New Roman" w:hAnsi="Times New Roman" w:eastAsia="仿宋_GB2312" w:cs="Times New Roman"/>
                <w:spacing w:val="14"/>
                <w:sz w:val="19"/>
                <w:szCs w:val="19"/>
              </w:rPr>
              <w:t>（建</w:t>
            </w:r>
            <w:r>
              <w:rPr>
                <w:rFonts w:hint="default" w:ascii="Times New Roman" w:hAnsi="Times New Roman" w:eastAsia="仿宋_GB2312" w:cs="Times New Roman"/>
                <w:spacing w:val="11"/>
                <w:sz w:val="19"/>
                <w:szCs w:val="19"/>
              </w:rPr>
              <w:t>筑</w:t>
            </w:r>
            <w:r>
              <w:rPr>
                <w:rFonts w:hint="default" w:ascii="Times New Roman" w:hAnsi="Times New Roman" w:eastAsia="仿宋_GB2312" w:cs="Times New Roman"/>
                <w:spacing w:val="7"/>
                <w:sz w:val="19"/>
                <w:szCs w:val="19"/>
              </w:rPr>
              <w:t>面积不小于 2200 平方米，用地面积不小</w:t>
            </w:r>
            <w:r>
              <w:rPr>
                <w:rFonts w:hint="default" w:ascii="Times New Roman" w:hAnsi="Times New Roman" w:eastAsia="仿宋_GB2312" w:cs="Times New Roman"/>
                <w:sz w:val="19"/>
                <w:szCs w:val="19"/>
              </w:rPr>
              <w:t xml:space="preserve"> </w:t>
            </w:r>
            <w:r>
              <w:rPr>
                <w:rFonts w:hint="default" w:ascii="Times New Roman" w:hAnsi="Times New Roman" w:eastAsia="仿宋_GB2312" w:cs="Times New Roman"/>
                <w:spacing w:val="-6"/>
                <w:sz w:val="19"/>
                <w:szCs w:val="19"/>
              </w:rPr>
              <w:t>于</w:t>
            </w:r>
            <w:r>
              <w:rPr>
                <w:rFonts w:hint="default" w:ascii="Times New Roman" w:hAnsi="Times New Roman" w:eastAsia="仿宋_GB2312" w:cs="Times New Roman"/>
                <w:spacing w:val="-5"/>
                <w:sz w:val="19"/>
                <w:szCs w:val="19"/>
              </w:rPr>
              <w:t xml:space="preserve"> 3500 平方米）</w:t>
            </w:r>
          </w:p>
        </w:tc>
      </w:tr>
      <w:tr w14:paraId="38CD3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jc w:val="center"/>
        </w:trPr>
        <w:tc>
          <w:tcPr>
            <w:tcW w:w="538" w:type="dxa"/>
            <w:vMerge w:val="continue"/>
            <w:textDirection w:val="tbRlV"/>
          </w:tcPr>
          <w:p w14:paraId="231F2ECD">
            <w:pPr>
              <w:rPr>
                <w:rFonts w:hint="default" w:ascii="Times New Roman" w:hAnsi="Times New Roman" w:eastAsia="仿宋_GB2312" w:cs="Times New Roman"/>
              </w:rPr>
            </w:pPr>
          </w:p>
        </w:tc>
        <w:tc>
          <w:tcPr>
            <w:tcW w:w="1134" w:type="dxa"/>
            <w:vMerge w:val="continue"/>
          </w:tcPr>
          <w:p w14:paraId="58AF0636">
            <w:pPr>
              <w:rPr>
                <w:rFonts w:hint="default" w:ascii="Times New Roman" w:hAnsi="Times New Roman" w:eastAsia="仿宋_GB2312" w:cs="Times New Roman"/>
              </w:rPr>
            </w:pPr>
          </w:p>
        </w:tc>
        <w:tc>
          <w:tcPr>
            <w:tcW w:w="424" w:type="dxa"/>
            <w:vMerge w:val="continue"/>
            <w:tcBorders>
              <w:top w:val="nil"/>
            </w:tcBorders>
          </w:tcPr>
          <w:p w14:paraId="75E5F224">
            <w:pPr>
              <w:rPr>
                <w:rFonts w:hint="default" w:ascii="Times New Roman" w:hAnsi="Times New Roman" w:eastAsia="仿宋_GB2312" w:cs="Times New Roman"/>
              </w:rPr>
            </w:pPr>
          </w:p>
        </w:tc>
        <w:tc>
          <w:tcPr>
            <w:tcW w:w="1277" w:type="dxa"/>
            <w:vMerge w:val="continue"/>
            <w:tcBorders>
              <w:top w:val="nil"/>
            </w:tcBorders>
          </w:tcPr>
          <w:p w14:paraId="271BA212">
            <w:pPr>
              <w:rPr>
                <w:rFonts w:hint="default" w:ascii="Times New Roman" w:hAnsi="Times New Roman" w:eastAsia="仿宋_GB2312" w:cs="Times New Roman"/>
              </w:rPr>
            </w:pPr>
          </w:p>
        </w:tc>
        <w:tc>
          <w:tcPr>
            <w:tcW w:w="2152" w:type="dxa"/>
          </w:tcPr>
          <w:p w14:paraId="7FE450F0">
            <w:pPr>
              <w:spacing w:before="196" w:line="224" w:lineRule="auto"/>
              <w:ind w:left="121"/>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存</w:t>
            </w:r>
            <w:r>
              <w:rPr>
                <w:rFonts w:hint="default" w:ascii="Times New Roman" w:hAnsi="Times New Roman" w:eastAsia="仿宋_GB2312" w:cs="Times New Roman"/>
                <w:spacing w:val="7"/>
                <w:sz w:val="19"/>
                <w:szCs w:val="19"/>
              </w:rPr>
              <w:t>在哪些问题</w:t>
            </w:r>
          </w:p>
        </w:tc>
        <w:tc>
          <w:tcPr>
            <w:tcW w:w="4371" w:type="dxa"/>
            <w:gridSpan w:val="2"/>
          </w:tcPr>
          <w:p w14:paraId="50AF53F6">
            <w:pPr>
              <w:spacing w:before="57" w:line="246" w:lineRule="auto"/>
              <w:ind w:left="118" w:right="262" w:firstLine="14"/>
              <w:rPr>
                <w:rFonts w:hint="default" w:ascii="Times New Roman" w:hAnsi="Times New Roman" w:eastAsia="仿宋_GB2312" w:cs="Times New Roman"/>
                <w:sz w:val="19"/>
                <w:szCs w:val="19"/>
              </w:rPr>
            </w:pPr>
            <w:r>
              <w:rPr>
                <w:rFonts w:hint="default" w:ascii="Times New Roman" w:hAnsi="Times New Roman" w:eastAsia="仿宋_GB2312" w:cs="Times New Roman"/>
                <w:spacing w:val="6"/>
                <w:sz w:val="19"/>
                <w:szCs w:val="19"/>
              </w:rPr>
              <w:t>□存在普</w:t>
            </w:r>
            <w:r>
              <w:rPr>
                <w:rFonts w:hint="default" w:ascii="Times New Roman" w:hAnsi="Times New Roman" w:eastAsia="仿宋_GB2312" w:cs="Times New Roman"/>
                <w:spacing w:val="4"/>
                <w:sz w:val="19"/>
                <w:szCs w:val="19"/>
              </w:rPr>
              <w:t>惠</w:t>
            </w:r>
            <w:r>
              <w:rPr>
                <w:rFonts w:hint="default" w:ascii="Times New Roman" w:hAnsi="Times New Roman" w:eastAsia="仿宋_GB2312" w:cs="Times New Roman"/>
                <w:spacing w:val="3"/>
                <w:sz w:val="19"/>
                <w:szCs w:val="19"/>
              </w:rPr>
              <w:t>性学前教育服务不到位的问题， 具</w:t>
            </w:r>
            <w:r>
              <w:rPr>
                <w:rFonts w:hint="default" w:ascii="Times New Roman" w:hAnsi="Times New Roman" w:eastAsia="仿宋_GB2312" w:cs="Times New Roman"/>
                <w:sz w:val="19"/>
                <w:szCs w:val="19"/>
              </w:rPr>
              <w:t xml:space="preserve"> </w:t>
            </w:r>
            <w:r>
              <w:rPr>
                <w:rFonts w:hint="default" w:ascii="Times New Roman" w:hAnsi="Times New Roman" w:eastAsia="仿宋_GB2312" w:cs="Times New Roman"/>
                <w:spacing w:val="6"/>
                <w:sz w:val="19"/>
                <w:szCs w:val="19"/>
              </w:rPr>
              <w:t>体问题为：___________</w:t>
            </w:r>
            <w:r>
              <w:rPr>
                <w:rFonts w:hint="default" w:ascii="Times New Roman" w:hAnsi="Times New Roman" w:eastAsia="仿宋_GB2312" w:cs="Times New Roman"/>
                <w:spacing w:val="2"/>
                <w:sz w:val="19"/>
                <w:szCs w:val="19"/>
              </w:rPr>
              <w:t>_</w:t>
            </w:r>
          </w:p>
        </w:tc>
      </w:tr>
      <w:tr w14:paraId="24208E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38" w:type="dxa"/>
            <w:vMerge w:val="continue"/>
            <w:textDirection w:val="tbRlV"/>
          </w:tcPr>
          <w:p w14:paraId="713B6F29">
            <w:pPr>
              <w:rPr>
                <w:rFonts w:hint="default" w:ascii="Times New Roman" w:hAnsi="Times New Roman" w:eastAsia="仿宋_GB2312" w:cs="Times New Roman"/>
              </w:rPr>
            </w:pPr>
          </w:p>
        </w:tc>
        <w:tc>
          <w:tcPr>
            <w:tcW w:w="1134" w:type="dxa"/>
            <w:vMerge w:val="continue"/>
          </w:tcPr>
          <w:p w14:paraId="5E7BB26C">
            <w:pPr>
              <w:rPr>
                <w:rFonts w:hint="default" w:ascii="Times New Roman" w:hAnsi="Times New Roman" w:eastAsia="仿宋_GB2312" w:cs="Times New Roman"/>
              </w:rPr>
            </w:pPr>
          </w:p>
        </w:tc>
        <w:tc>
          <w:tcPr>
            <w:tcW w:w="424" w:type="dxa"/>
          </w:tcPr>
          <w:p w14:paraId="278340C5">
            <w:pPr>
              <w:spacing w:before="182" w:line="184" w:lineRule="auto"/>
              <w:ind w:left="163"/>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rPr>
              <w:t>4</w:t>
            </w:r>
          </w:p>
        </w:tc>
        <w:tc>
          <w:tcPr>
            <w:tcW w:w="1277" w:type="dxa"/>
          </w:tcPr>
          <w:p w14:paraId="6D3B1A45">
            <w:pPr>
              <w:spacing w:before="145" w:line="228" w:lineRule="auto"/>
              <w:ind w:left="446"/>
              <w:rPr>
                <w:rFonts w:hint="default" w:ascii="Times New Roman" w:hAnsi="Times New Roman" w:eastAsia="仿宋_GB2312" w:cs="Times New Roman"/>
                <w:sz w:val="19"/>
                <w:szCs w:val="19"/>
              </w:rPr>
            </w:pPr>
            <w:r>
              <w:rPr>
                <w:rFonts w:hint="default" w:ascii="Times New Roman" w:hAnsi="Times New Roman" w:eastAsia="仿宋_GB2312" w:cs="Times New Roman"/>
                <w:spacing w:val="4"/>
                <w:sz w:val="19"/>
                <w:szCs w:val="19"/>
              </w:rPr>
              <w:t>小</w:t>
            </w:r>
            <w:r>
              <w:rPr>
                <w:rFonts w:hint="default" w:ascii="Times New Roman" w:hAnsi="Times New Roman" w:eastAsia="仿宋_GB2312" w:cs="Times New Roman"/>
                <w:spacing w:val="3"/>
                <w:sz w:val="19"/>
                <w:szCs w:val="19"/>
              </w:rPr>
              <w:t>学</w:t>
            </w:r>
          </w:p>
        </w:tc>
        <w:tc>
          <w:tcPr>
            <w:tcW w:w="2152" w:type="dxa"/>
          </w:tcPr>
          <w:p w14:paraId="479A0C65">
            <w:pPr>
              <w:spacing w:before="145" w:line="226" w:lineRule="auto"/>
              <w:ind w:left="118"/>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小学学位缺口数</w:t>
            </w:r>
          </w:p>
        </w:tc>
        <w:tc>
          <w:tcPr>
            <w:tcW w:w="4371" w:type="dxa"/>
            <w:gridSpan w:val="2"/>
          </w:tcPr>
          <w:p w14:paraId="42DD52DF">
            <w:pPr>
              <w:spacing w:before="144" w:line="223" w:lineRule="auto"/>
              <w:ind w:left="1779"/>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_</w:t>
            </w:r>
            <w:r>
              <w:rPr>
                <w:rFonts w:hint="default" w:ascii="Times New Roman" w:hAnsi="Times New Roman" w:eastAsia="仿宋_GB2312" w:cs="Times New Roman"/>
                <w:spacing w:val="6"/>
                <w:sz w:val="19"/>
                <w:szCs w:val="19"/>
              </w:rPr>
              <w:t>_____个</w:t>
            </w:r>
          </w:p>
        </w:tc>
      </w:tr>
      <w:tr w14:paraId="4AFC0F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538" w:type="dxa"/>
            <w:vMerge w:val="continue"/>
            <w:textDirection w:val="tbRlV"/>
          </w:tcPr>
          <w:p w14:paraId="3EB2AEDF">
            <w:pPr>
              <w:rPr>
                <w:rFonts w:hint="default" w:ascii="Times New Roman" w:hAnsi="Times New Roman" w:eastAsia="仿宋_GB2312" w:cs="Times New Roman"/>
              </w:rPr>
            </w:pPr>
          </w:p>
        </w:tc>
        <w:tc>
          <w:tcPr>
            <w:tcW w:w="1134" w:type="dxa"/>
            <w:vMerge w:val="continue"/>
          </w:tcPr>
          <w:p w14:paraId="63B9ECDB">
            <w:pPr>
              <w:rPr>
                <w:rFonts w:hint="default" w:ascii="Times New Roman" w:hAnsi="Times New Roman" w:eastAsia="仿宋_GB2312" w:cs="Times New Roman"/>
              </w:rPr>
            </w:pPr>
          </w:p>
        </w:tc>
        <w:tc>
          <w:tcPr>
            <w:tcW w:w="424" w:type="dxa"/>
            <w:vMerge w:val="restart"/>
            <w:tcBorders>
              <w:bottom w:val="nil"/>
            </w:tcBorders>
          </w:tcPr>
          <w:p w14:paraId="4FAC67F8">
            <w:pPr>
              <w:spacing w:line="402" w:lineRule="auto"/>
              <w:rPr>
                <w:rFonts w:hint="default" w:ascii="Times New Roman" w:hAnsi="Times New Roman" w:eastAsia="仿宋_GB2312" w:cs="Times New Roman"/>
              </w:rPr>
            </w:pPr>
          </w:p>
          <w:p w14:paraId="33E38A27">
            <w:pPr>
              <w:spacing w:before="62" w:line="183" w:lineRule="auto"/>
              <w:ind w:left="167"/>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rPr>
              <w:t>5</w:t>
            </w:r>
          </w:p>
        </w:tc>
        <w:tc>
          <w:tcPr>
            <w:tcW w:w="1277" w:type="dxa"/>
            <w:vMerge w:val="restart"/>
            <w:tcBorders>
              <w:bottom w:val="nil"/>
            </w:tcBorders>
          </w:tcPr>
          <w:p w14:paraId="25EC0ABE">
            <w:pPr>
              <w:spacing w:line="365" w:lineRule="auto"/>
              <w:rPr>
                <w:rFonts w:hint="default" w:ascii="Times New Roman" w:hAnsi="Times New Roman" w:eastAsia="仿宋_GB2312" w:cs="Times New Roman"/>
              </w:rPr>
            </w:pPr>
          </w:p>
          <w:p w14:paraId="1A2587C0">
            <w:pPr>
              <w:spacing w:before="61" w:line="224" w:lineRule="auto"/>
              <w:ind w:left="249"/>
              <w:rPr>
                <w:rFonts w:hint="default" w:ascii="Times New Roman" w:hAnsi="Times New Roman" w:eastAsia="仿宋_GB2312" w:cs="Times New Roman"/>
                <w:sz w:val="19"/>
                <w:szCs w:val="19"/>
              </w:rPr>
            </w:pPr>
            <w:r>
              <w:rPr>
                <w:rFonts w:hint="default" w:ascii="Times New Roman" w:hAnsi="Times New Roman" w:eastAsia="仿宋_GB2312" w:cs="Times New Roman"/>
                <w:spacing w:val="6"/>
                <w:sz w:val="19"/>
                <w:szCs w:val="19"/>
              </w:rPr>
              <w:t>停车泊位</w:t>
            </w:r>
          </w:p>
        </w:tc>
        <w:tc>
          <w:tcPr>
            <w:tcW w:w="2152" w:type="dxa"/>
          </w:tcPr>
          <w:p w14:paraId="49AF00F9">
            <w:pPr>
              <w:spacing w:before="143" w:line="224" w:lineRule="auto"/>
              <w:ind w:left="120"/>
              <w:rPr>
                <w:rFonts w:hint="default" w:ascii="Times New Roman" w:hAnsi="Times New Roman" w:eastAsia="仿宋_GB2312" w:cs="Times New Roman"/>
                <w:sz w:val="19"/>
                <w:szCs w:val="19"/>
              </w:rPr>
            </w:pPr>
            <w:r>
              <w:rPr>
                <w:rFonts w:hint="default" w:ascii="Times New Roman" w:hAnsi="Times New Roman" w:eastAsia="仿宋_GB2312" w:cs="Times New Roman"/>
                <w:spacing w:val="12"/>
                <w:sz w:val="19"/>
                <w:szCs w:val="19"/>
              </w:rPr>
              <w:t>停</w:t>
            </w:r>
            <w:r>
              <w:rPr>
                <w:rFonts w:hint="default" w:ascii="Times New Roman" w:hAnsi="Times New Roman" w:eastAsia="仿宋_GB2312" w:cs="Times New Roman"/>
                <w:spacing w:val="7"/>
                <w:sz w:val="19"/>
                <w:szCs w:val="19"/>
              </w:rPr>
              <w:t>车泊位缺口数</w:t>
            </w:r>
          </w:p>
        </w:tc>
        <w:tc>
          <w:tcPr>
            <w:tcW w:w="4371" w:type="dxa"/>
            <w:gridSpan w:val="2"/>
          </w:tcPr>
          <w:p w14:paraId="31CDB345">
            <w:pPr>
              <w:spacing w:before="143" w:line="223" w:lineRule="auto"/>
              <w:ind w:left="1779"/>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_</w:t>
            </w:r>
            <w:r>
              <w:rPr>
                <w:rFonts w:hint="default" w:ascii="Times New Roman" w:hAnsi="Times New Roman" w:eastAsia="仿宋_GB2312" w:cs="Times New Roman"/>
                <w:spacing w:val="6"/>
                <w:sz w:val="19"/>
                <w:szCs w:val="19"/>
              </w:rPr>
              <w:t>_____个</w:t>
            </w:r>
          </w:p>
        </w:tc>
      </w:tr>
      <w:tr w14:paraId="0F546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jc w:val="center"/>
        </w:trPr>
        <w:tc>
          <w:tcPr>
            <w:tcW w:w="538" w:type="dxa"/>
            <w:vMerge w:val="continue"/>
            <w:textDirection w:val="tbRlV"/>
          </w:tcPr>
          <w:p w14:paraId="089B4C32">
            <w:pPr>
              <w:rPr>
                <w:rFonts w:hint="default" w:ascii="Times New Roman" w:hAnsi="Times New Roman" w:eastAsia="仿宋_GB2312" w:cs="Times New Roman"/>
              </w:rPr>
            </w:pPr>
          </w:p>
        </w:tc>
        <w:tc>
          <w:tcPr>
            <w:tcW w:w="1134" w:type="dxa"/>
            <w:vMerge w:val="continue"/>
          </w:tcPr>
          <w:p w14:paraId="4660B406">
            <w:pPr>
              <w:rPr>
                <w:rFonts w:hint="default" w:ascii="Times New Roman" w:hAnsi="Times New Roman" w:eastAsia="仿宋_GB2312" w:cs="Times New Roman"/>
              </w:rPr>
            </w:pPr>
          </w:p>
        </w:tc>
        <w:tc>
          <w:tcPr>
            <w:tcW w:w="424" w:type="dxa"/>
            <w:vMerge w:val="continue"/>
            <w:tcBorders>
              <w:top w:val="nil"/>
            </w:tcBorders>
          </w:tcPr>
          <w:p w14:paraId="6513B31B">
            <w:pPr>
              <w:rPr>
                <w:rFonts w:hint="default" w:ascii="Times New Roman" w:hAnsi="Times New Roman" w:eastAsia="仿宋_GB2312" w:cs="Times New Roman"/>
              </w:rPr>
            </w:pPr>
          </w:p>
        </w:tc>
        <w:tc>
          <w:tcPr>
            <w:tcW w:w="1277" w:type="dxa"/>
            <w:vMerge w:val="continue"/>
            <w:tcBorders>
              <w:top w:val="nil"/>
            </w:tcBorders>
          </w:tcPr>
          <w:p w14:paraId="3023487A">
            <w:pPr>
              <w:rPr>
                <w:rFonts w:hint="default" w:ascii="Times New Roman" w:hAnsi="Times New Roman" w:eastAsia="仿宋_GB2312" w:cs="Times New Roman"/>
              </w:rPr>
            </w:pPr>
          </w:p>
        </w:tc>
        <w:tc>
          <w:tcPr>
            <w:tcW w:w="2152" w:type="dxa"/>
          </w:tcPr>
          <w:p w14:paraId="53CBFC38">
            <w:pPr>
              <w:spacing w:before="199" w:line="224" w:lineRule="auto"/>
              <w:ind w:left="121"/>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存</w:t>
            </w:r>
            <w:r>
              <w:rPr>
                <w:rFonts w:hint="default" w:ascii="Times New Roman" w:hAnsi="Times New Roman" w:eastAsia="仿宋_GB2312" w:cs="Times New Roman"/>
                <w:spacing w:val="7"/>
                <w:sz w:val="19"/>
                <w:szCs w:val="19"/>
              </w:rPr>
              <w:t>在哪些问题</w:t>
            </w:r>
          </w:p>
        </w:tc>
        <w:tc>
          <w:tcPr>
            <w:tcW w:w="4371" w:type="dxa"/>
            <w:gridSpan w:val="2"/>
          </w:tcPr>
          <w:p w14:paraId="35530BF8">
            <w:pPr>
              <w:spacing w:before="57" w:line="224" w:lineRule="auto"/>
              <w:ind w:left="132"/>
              <w:rPr>
                <w:rFonts w:hint="default" w:ascii="Times New Roman" w:hAnsi="Times New Roman" w:eastAsia="仿宋_GB2312" w:cs="Times New Roman"/>
                <w:sz w:val="19"/>
                <w:szCs w:val="19"/>
              </w:rPr>
            </w:pPr>
            <w:r>
              <w:rPr>
                <w:rFonts w:hint="default" w:ascii="Times New Roman" w:hAnsi="Times New Roman" w:eastAsia="仿宋_GB2312" w:cs="Times New Roman"/>
                <w:spacing w:val="7"/>
                <w:sz w:val="19"/>
                <w:szCs w:val="19"/>
              </w:rPr>
              <w:t>□停车占用消防通</w:t>
            </w:r>
            <w:r>
              <w:rPr>
                <w:rFonts w:hint="default" w:ascii="Times New Roman" w:hAnsi="Times New Roman" w:eastAsia="仿宋_GB2312" w:cs="Times New Roman"/>
                <w:spacing w:val="5"/>
                <w:sz w:val="19"/>
                <w:szCs w:val="19"/>
              </w:rPr>
              <w:t>道</w:t>
            </w:r>
          </w:p>
          <w:p w14:paraId="0848E6E7">
            <w:pPr>
              <w:spacing w:before="50" w:line="221" w:lineRule="auto"/>
              <w:ind w:left="132"/>
              <w:rPr>
                <w:rFonts w:hint="default" w:ascii="Times New Roman" w:hAnsi="Times New Roman" w:eastAsia="仿宋_GB2312" w:cs="Times New Roman"/>
                <w:sz w:val="19"/>
                <w:szCs w:val="19"/>
              </w:rPr>
            </w:pPr>
            <w:r>
              <w:rPr>
                <w:rFonts w:hint="default" w:ascii="Times New Roman" w:hAnsi="Times New Roman" w:eastAsia="仿宋_GB2312" w:cs="Times New Roman"/>
                <w:spacing w:val="-1"/>
                <w:sz w:val="19"/>
                <w:szCs w:val="19"/>
              </w:rPr>
              <w:t>□其</w:t>
            </w:r>
            <w:r>
              <w:rPr>
                <w:rFonts w:hint="default" w:ascii="Times New Roman" w:hAnsi="Times New Roman" w:eastAsia="仿宋_GB2312" w:cs="Times New Roman"/>
                <w:sz w:val="19"/>
                <w:szCs w:val="19"/>
              </w:rPr>
              <w:t>他问题： ____________</w:t>
            </w:r>
          </w:p>
        </w:tc>
      </w:tr>
      <w:tr w14:paraId="7F7BE6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jc w:val="center"/>
        </w:trPr>
        <w:tc>
          <w:tcPr>
            <w:tcW w:w="538" w:type="dxa"/>
            <w:vMerge w:val="continue"/>
            <w:textDirection w:val="tbRlV"/>
          </w:tcPr>
          <w:p w14:paraId="155208AD">
            <w:pPr>
              <w:rPr>
                <w:rFonts w:hint="default" w:ascii="Times New Roman" w:hAnsi="Times New Roman" w:eastAsia="仿宋_GB2312" w:cs="Times New Roman"/>
              </w:rPr>
            </w:pPr>
          </w:p>
        </w:tc>
        <w:tc>
          <w:tcPr>
            <w:tcW w:w="1134" w:type="dxa"/>
            <w:vMerge w:val="continue"/>
          </w:tcPr>
          <w:p w14:paraId="451FEC7C">
            <w:pPr>
              <w:rPr>
                <w:rFonts w:hint="default" w:ascii="Times New Roman" w:hAnsi="Times New Roman" w:eastAsia="仿宋_GB2312" w:cs="Times New Roman"/>
              </w:rPr>
            </w:pPr>
          </w:p>
        </w:tc>
        <w:tc>
          <w:tcPr>
            <w:tcW w:w="424" w:type="dxa"/>
            <w:vMerge w:val="restart"/>
            <w:vAlign w:val="center"/>
          </w:tcPr>
          <w:p w14:paraId="43651806">
            <w:pPr>
              <w:spacing w:before="180" w:line="184" w:lineRule="auto"/>
              <w:ind w:left="165"/>
              <w:jc w:val="left"/>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rPr>
              <w:t>6</w:t>
            </w:r>
          </w:p>
        </w:tc>
        <w:tc>
          <w:tcPr>
            <w:tcW w:w="1277" w:type="dxa"/>
          </w:tcPr>
          <w:p w14:paraId="0CB8F1D6">
            <w:pPr>
              <w:spacing w:before="143" w:line="224" w:lineRule="auto"/>
              <w:ind w:left="146"/>
              <w:rPr>
                <w:rFonts w:hint="default" w:ascii="Times New Roman" w:hAnsi="Times New Roman" w:eastAsia="仿宋_GB2312" w:cs="Times New Roman"/>
                <w:sz w:val="19"/>
                <w:szCs w:val="19"/>
              </w:rPr>
            </w:pPr>
            <w:r>
              <w:rPr>
                <w:rFonts w:hint="default" w:ascii="Times New Roman" w:hAnsi="Times New Roman" w:eastAsia="仿宋_GB2312" w:cs="Times New Roman"/>
                <w:spacing w:val="9"/>
                <w:sz w:val="19"/>
                <w:szCs w:val="19"/>
              </w:rPr>
              <w:t>新</w:t>
            </w:r>
            <w:r>
              <w:rPr>
                <w:rFonts w:hint="default" w:ascii="Times New Roman" w:hAnsi="Times New Roman" w:eastAsia="仿宋_GB2312" w:cs="Times New Roman"/>
                <w:spacing w:val="7"/>
                <w:sz w:val="19"/>
                <w:szCs w:val="19"/>
              </w:rPr>
              <w:t>能源汽车</w:t>
            </w:r>
          </w:p>
        </w:tc>
        <w:tc>
          <w:tcPr>
            <w:tcW w:w="2152" w:type="dxa"/>
          </w:tcPr>
          <w:p w14:paraId="78648A1A">
            <w:pPr>
              <w:spacing w:before="143" w:line="228" w:lineRule="auto"/>
              <w:ind w:left="119"/>
              <w:rPr>
                <w:rFonts w:hint="default" w:ascii="Times New Roman" w:hAnsi="Times New Roman" w:eastAsia="仿宋_GB2312" w:cs="Times New Roman"/>
                <w:sz w:val="19"/>
                <w:szCs w:val="19"/>
              </w:rPr>
            </w:pPr>
            <w:r>
              <w:rPr>
                <w:rFonts w:hint="default" w:ascii="Times New Roman" w:hAnsi="Times New Roman" w:eastAsia="仿宋_GB2312" w:cs="Times New Roman"/>
                <w:spacing w:val="10"/>
                <w:sz w:val="19"/>
                <w:szCs w:val="19"/>
              </w:rPr>
              <w:t>充</w:t>
            </w:r>
            <w:r>
              <w:rPr>
                <w:rFonts w:hint="default" w:ascii="Times New Roman" w:hAnsi="Times New Roman" w:eastAsia="仿宋_GB2312" w:cs="Times New Roman"/>
                <w:spacing w:val="7"/>
                <w:sz w:val="19"/>
                <w:szCs w:val="19"/>
              </w:rPr>
              <w:t>电桩缺口数</w:t>
            </w:r>
          </w:p>
        </w:tc>
        <w:tc>
          <w:tcPr>
            <w:tcW w:w="4371" w:type="dxa"/>
            <w:gridSpan w:val="2"/>
          </w:tcPr>
          <w:p w14:paraId="7E2F9B98">
            <w:pPr>
              <w:spacing w:before="143" w:line="223" w:lineRule="auto"/>
              <w:ind w:left="1779"/>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_</w:t>
            </w:r>
            <w:r>
              <w:rPr>
                <w:rFonts w:hint="default" w:ascii="Times New Roman" w:hAnsi="Times New Roman" w:eastAsia="仿宋_GB2312" w:cs="Times New Roman"/>
                <w:spacing w:val="6"/>
                <w:sz w:val="19"/>
                <w:szCs w:val="19"/>
              </w:rPr>
              <w:t>_____个</w:t>
            </w:r>
          </w:p>
        </w:tc>
      </w:tr>
      <w:tr w14:paraId="0A8564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jc w:val="center"/>
        </w:trPr>
        <w:tc>
          <w:tcPr>
            <w:tcW w:w="538" w:type="dxa"/>
            <w:vMerge w:val="continue"/>
          </w:tcPr>
          <w:p w14:paraId="2FA1A61A">
            <w:pPr>
              <w:rPr>
                <w:rFonts w:hint="default" w:ascii="Times New Roman" w:hAnsi="Times New Roman" w:eastAsia="仿宋_GB2312" w:cs="Times New Roman"/>
              </w:rPr>
            </w:pPr>
          </w:p>
        </w:tc>
        <w:tc>
          <w:tcPr>
            <w:tcW w:w="1134" w:type="dxa"/>
            <w:vMerge w:val="continue"/>
          </w:tcPr>
          <w:p w14:paraId="28099A87">
            <w:pPr>
              <w:rPr>
                <w:rFonts w:hint="default" w:ascii="Times New Roman" w:hAnsi="Times New Roman" w:eastAsia="仿宋_GB2312" w:cs="Times New Roman"/>
              </w:rPr>
            </w:pPr>
          </w:p>
        </w:tc>
        <w:tc>
          <w:tcPr>
            <w:tcW w:w="424" w:type="dxa"/>
            <w:vMerge w:val="continue"/>
          </w:tcPr>
          <w:p w14:paraId="36C4D32B">
            <w:pPr>
              <w:rPr>
                <w:rFonts w:hint="default" w:ascii="Times New Roman" w:hAnsi="Times New Roman" w:eastAsia="仿宋_GB2312" w:cs="Times New Roman"/>
              </w:rPr>
            </w:pPr>
          </w:p>
        </w:tc>
        <w:tc>
          <w:tcPr>
            <w:tcW w:w="1277" w:type="dxa"/>
          </w:tcPr>
          <w:p w14:paraId="5E93FB0C">
            <w:pPr>
              <w:spacing w:before="57" w:line="228" w:lineRule="auto"/>
              <w:ind w:left="349"/>
              <w:rPr>
                <w:rFonts w:hint="default" w:ascii="Times New Roman" w:hAnsi="Times New Roman" w:eastAsia="仿宋_GB2312" w:cs="Times New Roman"/>
                <w:sz w:val="19"/>
                <w:szCs w:val="19"/>
              </w:rPr>
            </w:pPr>
            <w:r>
              <w:rPr>
                <w:rFonts w:hint="default" w:ascii="Times New Roman" w:hAnsi="Times New Roman" w:eastAsia="仿宋_GB2312" w:cs="Times New Roman"/>
                <w:spacing w:val="5"/>
                <w:sz w:val="19"/>
                <w:szCs w:val="19"/>
              </w:rPr>
              <w:t>充电桩</w:t>
            </w:r>
          </w:p>
        </w:tc>
        <w:tc>
          <w:tcPr>
            <w:tcW w:w="2152" w:type="dxa"/>
          </w:tcPr>
          <w:p w14:paraId="04A041EF">
            <w:pPr>
              <w:spacing w:before="196" w:line="224" w:lineRule="auto"/>
              <w:ind w:left="121"/>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存</w:t>
            </w:r>
            <w:r>
              <w:rPr>
                <w:rFonts w:hint="default" w:ascii="Times New Roman" w:hAnsi="Times New Roman" w:eastAsia="仿宋_GB2312" w:cs="Times New Roman"/>
                <w:spacing w:val="7"/>
                <w:sz w:val="19"/>
                <w:szCs w:val="19"/>
              </w:rPr>
              <w:t>在哪些问题</w:t>
            </w:r>
          </w:p>
        </w:tc>
        <w:tc>
          <w:tcPr>
            <w:tcW w:w="4371" w:type="dxa"/>
            <w:gridSpan w:val="2"/>
          </w:tcPr>
          <w:p w14:paraId="1B5D5444">
            <w:pPr>
              <w:spacing w:before="57" w:line="248" w:lineRule="auto"/>
              <w:ind w:left="118" w:right="463" w:firstLine="14"/>
              <w:rPr>
                <w:rFonts w:hint="default" w:ascii="Times New Roman" w:hAnsi="Times New Roman" w:eastAsia="仿宋_GB2312" w:cs="Times New Roman"/>
                <w:sz w:val="19"/>
                <w:szCs w:val="19"/>
              </w:rPr>
            </w:pPr>
            <w:r>
              <w:rPr>
                <w:rFonts w:hint="default" w:ascii="Times New Roman" w:hAnsi="Times New Roman" w:eastAsia="仿宋_GB2312" w:cs="Times New Roman"/>
                <w:spacing w:val="15"/>
                <w:sz w:val="19"/>
                <w:szCs w:val="19"/>
              </w:rPr>
              <w:t>□</w:t>
            </w:r>
            <w:r>
              <w:rPr>
                <w:rFonts w:hint="default" w:ascii="Times New Roman" w:hAnsi="Times New Roman" w:eastAsia="仿宋_GB2312" w:cs="Times New Roman"/>
                <w:spacing w:val="8"/>
                <w:sz w:val="19"/>
                <w:szCs w:val="19"/>
              </w:rPr>
              <w:t>充电桩在安装、使用、运维过程中存在问</w:t>
            </w:r>
            <w:r>
              <w:rPr>
                <w:rFonts w:hint="default" w:ascii="Times New Roman" w:hAnsi="Times New Roman" w:eastAsia="仿宋_GB2312" w:cs="Times New Roman"/>
                <w:sz w:val="19"/>
                <w:szCs w:val="19"/>
              </w:rPr>
              <w:t xml:space="preserve"> </w:t>
            </w:r>
            <w:r>
              <w:rPr>
                <w:rFonts w:hint="default" w:ascii="Times New Roman" w:hAnsi="Times New Roman" w:eastAsia="仿宋_GB2312" w:cs="Times New Roman"/>
                <w:spacing w:val="12"/>
                <w:sz w:val="19"/>
                <w:szCs w:val="19"/>
              </w:rPr>
              <w:t>题</w:t>
            </w:r>
            <w:r>
              <w:rPr>
                <w:rFonts w:hint="default" w:ascii="Times New Roman" w:hAnsi="Times New Roman" w:eastAsia="仿宋_GB2312" w:cs="Times New Roman"/>
                <w:spacing w:val="8"/>
                <w:sz w:val="19"/>
                <w:szCs w:val="19"/>
              </w:rPr>
              <w:t>，</w:t>
            </w:r>
            <w:r>
              <w:rPr>
                <w:rFonts w:hint="default" w:ascii="Times New Roman" w:hAnsi="Times New Roman" w:eastAsia="仿宋_GB2312" w:cs="Times New Roman"/>
                <w:spacing w:val="6"/>
                <w:sz w:val="19"/>
                <w:szCs w:val="19"/>
              </w:rPr>
              <w:t>具体问题为：____________</w:t>
            </w:r>
          </w:p>
        </w:tc>
      </w:tr>
      <w:tr w14:paraId="4C70C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0" w:hRule="atLeast"/>
          <w:jc w:val="center"/>
        </w:trPr>
        <w:tc>
          <w:tcPr>
            <w:tcW w:w="538" w:type="dxa"/>
            <w:vMerge w:val="continue"/>
          </w:tcPr>
          <w:p w14:paraId="77F0CDAF">
            <w:pPr>
              <w:rPr>
                <w:rFonts w:hint="default" w:ascii="Times New Roman" w:hAnsi="Times New Roman" w:eastAsia="仿宋_GB2312" w:cs="Times New Roman"/>
              </w:rPr>
            </w:pPr>
          </w:p>
        </w:tc>
        <w:tc>
          <w:tcPr>
            <w:tcW w:w="1134" w:type="dxa"/>
            <w:vMerge w:val="restart"/>
            <w:tcBorders>
              <w:bottom w:val="nil"/>
            </w:tcBorders>
          </w:tcPr>
          <w:p w14:paraId="39A41101">
            <w:pPr>
              <w:spacing w:line="250" w:lineRule="auto"/>
              <w:rPr>
                <w:rFonts w:hint="default" w:ascii="Times New Roman" w:hAnsi="Times New Roman" w:eastAsia="仿宋_GB2312" w:cs="Times New Roman"/>
              </w:rPr>
            </w:pPr>
          </w:p>
          <w:p w14:paraId="1C9D31E9">
            <w:pPr>
              <w:spacing w:line="250" w:lineRule="auto"/>
              <w:rPr>
                <w:rFonts w:hint="default" w:ascii="Times New Roman" w:hAnsi="Times New Roman" w:eastAsia="仿宋_GB2312" w:cs="Times New Roman"/>
              </w:rPr>
            </w:pPr>
          </w:p>
          <w:p w14:paraId="2E94033F">
            <w:pPr>
              <w:spacing w:line="250" w:lineRule="auto"/>
              <w:rPr>
                <w:rFonts w:hint="default" w:ascii="Times New Roman" w:hAnsi="Times New Roman" w:eastAsia="仿宋_GB2312" w:cs="Times New Roman"/>
              </w:rPr>
            </w:pPr>
          </w:p>
          <w:p w14:paraId="73B60C78">
            <w:pPr>
              <w:spacing w:line="250" w:lineRule="auto"/>
              <w:rPr>
                <w:rFonts w:hint="default" w:ascii="Times New Roman" w:hAnsi="Times New Roman" w:eastAsia="仿宋_GB2312" w:cs="Times New Roman"/>
              </w:rPr>
            </w:pPr>
          </w:p>
          <w:p w14:paraId="4FF5DC47">
            <w:pPr>
              <w:spacing w:line="250" w:lineRule="auto"/>
              <w:rPr>
                <w:rFonts w:hint="default" w:ascii="Times New Roman" w:hAnsi="Times New Roman" w:eastAsia="仿宋_GB2312" w:cs="Times New Roman"/>
              </w:rPr>
            </w:pPr>
          </w:p>
          <w:p w14:paraId="7DCD2615">
            <w:pPr>
              <w:spacing w:line="250" w:lineRule="auto"/>
              <w:rPr>
                <w:rFonts w:hint="default" w:ascii="Times New Roman" w:hAnsi="Times New Roman" w:eastAsia="仿宋_GB2312" w:cs="Times New Roman"/>
              </w:rPr>
            </w:pPr>
          </w:p>
          <w:p w14:paraId="704E260F">
            <w:pPr>
              <w:spacing w:line="250" w:lineRule="auto"/>
              <w:rPr>
                <w:rFonts w:hint="default" w:ascii="Times New Roman" w:hAnsi="Times New Roman" w:eastAsia="仿宋_GB2312" w:cs="Times New Roman"/>
              </w:rPr>
            </w:pPr>
          </w:p>
          <w:p w14:paraId="25CACFAB">
            <w:pPr>
              <w:spacing w:line="251" w:lineRule="auto"/>
              <w:rPr>
                <w:rFonts w:hint="default" w:ascii="Times New Roman" w:hAnsi="Times New Roman" w:eastAsia="仿宋_GB2312" w:cs="Times New Roman"/>
              </w:rPr>
            </w:pPr>
          </w:p>
          <w:p w14:paraId="08463A0B">
            <w:pPr>
              <w:spacing w:line="251" w:lineRule="auto"/>
              <w:rPr>
                <w:rFonts w:hint="default" w:ascii="Times New Roman" w:hAnsi="Times New Roman" w:eastAsia="仿宋_GB2312" w:cs="Times New Roman"/>
              </w:rPr>
            </w:pPr>
          </w:p>
          <w:p w14:paraId="1DB347B1">
            <w:pPr>
              <w:spacing w:line="251" w:lineRule="auto"/>
              <w:rPr>
                <w:rFonts w:hint="default" w:ascii="Times New Roman" w:hAnsi="Times New Roman" w:eastAsia="仿宋_GB2312" w:cs="Times New Roman"/>
              </w:rPr>
            </w:pPr>
          </w:p>
          <w:p w14:paraId="19DB9866">
            <w:pPr>
              <w:spacing w:line="251" w:lineRule="auto"/>
              <w:rPr>
                <w:rFonts w:hint="default" w:ascii="Times New Roman" w:hAnsi="Times New Roman" w:eastAsia="仿宋_GB2312" w:cs="Times New Roman"/>
              </w:rPr>
            </w:pPr>
          </w:p>
          <w:p w14:paraId="39D7886F">
            <w:pPr>
              <w:spacing w:line="251" w:lineRule="auto"/>
              <w:rPr>
                <w:rFonts w:hint="default" w:ascii="Times New Roman" w:hAnsi="Times New Roman" w:eastAsia="仿宋_GB2312" w:cs="Times New Roman"/>
              </w:rPr>
            </w:pPr>
          </w:p>
          <w:p w14:paraId="17CD6B73">
            <w:pPr>
              <w:spacing w:line="251" w:lineRule="auto"/>
              <w:rPr>
                <w:rFonts w:hint="default" w:ascii="Times New Roman" w:hAnsi="Times New Roman" w:eastAsia="仿宋_GB2312" w:cs="Times New Roman"/>
              </w:rPr>
            </w:pPr>
          </w:p>
          <w:p w14:paraId="78803FBA">
            <w:pPr>
              <w:spacing w:line="251" w:lineRule="auto"/>
              <w:rPr>
                <w:rFonts w:hint="default" w:ascii="Times New Roman" w:hAnsi="Times New Roman" w:eastAsia="仿宋_GB2312" w:cs="Times New Roman"/>
              </w:rPr>
            </w:pPr>
          </w:p>
          <w:p w14:paraId="448AEEAD">
            <w:pPr>
              <w:spacing w:line="251" w:lineRule="auto"/>
              <w:rPr>
                <w:rFonts w:hint="default" w:ascii="Times New Roman" w:hAnsi="Times New Roman" w:eastAsia="仿宋_GB2312" w:cs="Times New Roman"/>
              </w:rPr>
            </w:pPr>
          </w:p>
          <w:p w14:paraId="0642FAAA">
            <w:pPr>
              <w:spacing w:before="61" w:line="227" w:lineRule="auto"/>
              <w:ind w:left="176"/>
              <w:rPr>
                <w:rFonts w:hint="default" w:ascii="Times New Roman" w:hAnsi="Times New Roman" w:eastAsia="仿宋_GB2312" w:cs="Times New Roman"/>
                <w:sz w:val="19"/>
                <w:szCs w:val="19"/>
              </w:rPr>
            </w:pPr>
            <w:r>
              <w:rPr>
                <w:rFonts w:hint="default" w:ascii="Times New Roman" w:hAnsi="Times New Roman" w:eastAsia="仿宋_GB2312" w:cs="Times New Roman"/>
                <w:spacing w:val="7"/>
                <w:sz w:val="19"/>
                <w:szCs w:val="19"/>
              </w:rPr>
              <w:t>环</w:t>
            </w:r>
            <w:r>
              <w:rPr>
                <w:rFonts w:hint="default" w:ascii="Times New Roman" w:hAnsi="Times New Roman" w:eastAsia="仿宋_GB2312" w:cs="Times New Roman"/>
                <w:spacing w:val="6"/>
                <w:sz w:val="19"/>
                <w:szCs w:val="19"/>
              </w:rPr>
              <w:t>境宜居</w:t>
            </w:r>
          </w:p>
        </w:tc>
        <w:tc>
          <w:tcPr>
            <w:tcW w:w="424" w:type="dxa"/>
            <w:vMerge w:val="restart"/>
            <w:tcBorders>
              <w:bottom w:val="nil"/>
            </w:tcBorders>
          </w:tcPr>
          <w:p w14:paraId="760446EC">
            <w:pPr>
              <w:spacing w:line="248" w:lineRule="auto"/>
              <w:rPr>
                <w:rFonts w:hint="default" w:ascii="Times New Roman" w:hAnsi="Times New Roman" w:eastAsia="仿宋_GB2312" w:cs="Times New Roman"/>
              </w:rPr>
            </w:pPr>
          </w:p>
          <w:p w14:paraId="62EB5FC4">
            <w:pPr>
              <w:spacing w:line="248" w:lineRule="auto"/>
              <w:rPr>
                <w:rFonts w:hint="default" w:ascii="Times New Roman" w:hAnsi="Times New Roman" w:eastAsia="仿宋_GB2312" w:cs="Times New Roman"/>
              </w:rPr>
            </w:pPr>
          </w:p>
          <w:p w14:paraId="25748C0F">
            <w:pPr>
              <w:spacing w:line="248" w:lineRule="auto"/>
              <w:rPr>
                <w:rFonts w:hint="default" w:ascii="Times New Roman" w:hAnsi="Times New Roman" w:eastAsia="仿宋_GB2312" w:cs="Times New Roman"/>
              </w:rPr>
            </w:pPr>
          </w:p>
          <w:p w14:paraId="6DB85B22">
            <w:pPr>
              <w:spacing w:line="248" w:lineRule="auto"/>
              <w:rPr>
                <w:rFonts w:hint="default" w:ascii="Times New Roman" w:hAnsi="Times New Roman" w:eastAsia="仿宋_GB2312" w:cs="Times New Roman"/>
              </w:rPr>
            </w:pPr>
          </w:p>
          <w:p w14:paraId="3BBBFD61">
            <w:pPr>
              <w:spacing w:line="248" w:lineRule="auto"/>
              <w:rPr>
                <w:rFonts w:hint="default" w:ascii="Times New Roman" w:hAnsi="Times New Roman" w:eastAsia="仿宋_GB2312" w:cs="Times New Roman"/>
              </w:rPr>
            </w:pPr>
          </w:p>
          <w:p w14:paraId="5515ECA9">
            <w:pPr>
              <w:spacing w:line="249" w:lineRule="auto"/>
              <w:rPr>
                <w:rFonts w:hint="default" w:ascii="Times New Roman" w:hAnsi="Times New Roman" w:eastAsia="仿宋_GB2312" w:cs="Times New Roman"/>
              </w:rPr>
            </w:pPr>
          </w:p>
          <w:p w14:paraId="37FB2213">
            <w:pPr>
              <w:spacing w:line="249" w:lineRule="auto"/>
              <w:rPr>
                <w:rFonts w:hint="default" w:ascii="Times New Roman" w:hAnsi="Times New Roman" w:eastAsia="仿宋_GB2312" w:cs="Times New Roman"/>
              </w:rPr>
            </w:pPr>
          </w:p>
          <w:p w14:paraId="407F0B96">
            <w:pPr>
              <w:spacing w:line="249" w:lineRule="auto"/>
              <w:rPr>
                <w:rFonts w:hint="default" w:ascii="Times New Roman" w:hAnsi="Times New Roman" w:eastAsia="仿宋_GB2312" w:cs="Times New Roman"/>
              </w:rPr>
            </w:pPr>
          </w:p>
          <w:p w14:paraId="1FCCC4E7">
            <w:pPr>
              <w:spacing w:before="61" w:line="183" w:lineRule="auto"/>
              <w:ind w:left="168"/>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rPr>
              <w:t>7</w:t>
            </w:r>
          </w:p>
        </w:tc>
        <w:tc>
          <w:tcPr>
            <w:tcW w:w="1277" w:type="dxa"/>
            <w:vMerge w:val="restart"/>
            <w:tcBorders>
              <w:bottom w:val="nil"/>
            </w:tcBorders>
          </w:tcPr>
          <w:p w14:paraId="5463AD7D">
            <w:pPr>
              <w:spacing w:line="258" w:lineRule="auto"/>
              <w:rPr>
                <w:rFonts w:hint="default" w:ascii="Times New Roman" w:hAnsi="Times New Roman" w:eastAsia="仿宋_GB2312" w:cs="Times New Roman"/>
              </w:rPr>
            </w:pPr>
          </w:p>
          <w:p w14:paraId="30AD5289">
            <w:pPr>
              <w:spacing w:line="258" w:lineRule="auto"/>
              <w:rPr>
                <w:rFonts w:hint="default" w:ascii="Times New Roman" w:hAnsi="Times New Roman" w:eastAsia="仿宋_GB2312" w:cs="Times New Roman"/>
              </w:rPr>
            </w:pPr>
          </w:p>
          <w:p w14:paraId="58265ACB">
            <w:pPr>
              <w:spacing w:line="258" w:lineRule="auto"/>
              <w:rPr>
                <w:rFonts w:hint="default" w:ascii="Times New Roman" w:hAnsi="Times New Roman" w:eastAsia="仿宋_GB2312" w:cs="Times New Roman"/>
              </w:rPr>
            </w:pPr>
          </w:p>
          <w:p w14:paraId="032B819B">
            <w:pPr>
              <w:spacing w:line="259" w:lineRule="auto"/>
              <w:rPr>
                <w:rFonts w:hint="default" w:ascii="Times New Roman" w:hAnsi="Times New Roman" w:eastAsia="仿宋_GB2312" w:cs="Times New Roman"/>
              </w:rPr>
            </w:pPr>
          </w:p>
          <w:p w14:paraId="5155B285">
            <w:pPr>
              <w:spacing w:line="259" w:lineRule="auto"/>
              <w:rPr>
                <w:rFonts w:hint="default" w:ascii="Times New Roman" w:hAnsi="Times New Roman" w:eastAsia="仿宋_GB2312" w:cs="Times New Roman"/>
              </w:rPr>
            </w:pPr>
          </w:p>
          <w:p w14:paraId="03786CD8">
            <w:pPr>
              <w:spacing w:line="259" w:lineRule="auto"/>
              <w:rPr>
                <w:rFonts w:hint="default" w:ascii="Times New Roman" w:hAnsi="Times New Roman" w:eastAsia="仿宋_GB2312" w:cs="Times New Roman"/>
              </w:rPr>
            </w:pPr>
          </w:p>
          <w:p w14:paraId="5BCE7ED7">
            <w:pPr>
              <w:spacing w:line="259" w:lineRule="auto"/>
              <w:rPr>
                <w:rFonts w:hint="default" w:ascii="Times New Roman" w:hAnsi="Times New Roman" w:eastAsia="仿宋_GB2312" w:cs="Times New Roman"/>
              </w:rPr>
            </w:pPr>
          </w:p>
          <w:p w14:paraId="298092C8">
            <w:pPr>
              <w:spacing w:before="62" w:line="284" w:lineRule="auto"/>
              <w:ind w:right="238"/>
              <w:jc w:val="center"/>
              <w:rPr>
                <w:rFonts w:hint="default" w:ascii="Times New Roman" w:hAnsi="Times New Roman" w:eastAsia="仿宋_GB2312" w:cs="Times New Roman"/>
                <w:spacing w:val="5"/>
                <w:sz w:val="19"/>
                <w:szCs w:val="19"/>
              </w:rPr>
            </w:pPr>
            <w:r>
              <w:rPr>
                <w:rFonts w:hint="default" w:ascii="Times New Roman" w:hAnsi="Times New Roman" w:eastAsia="仿宋_GB2312" w:cs="Times New Roman"/>
                <w:spacing w:val="2"/>
                <w:sz w:val="19"/>
                <w:szCs w:val="19"/>
              </w:rPr>
              <w:t>公</w:t>
            </w:r>
            <w:r>
              <w:rPr>
                <w:rFonts w:hint="default" w:ascii="Times New Roman" w:hAnsi="Times New Roman" w:eastAsia="仿宋_GB2312" w:cs="Times New Roman"/>
                <w:spacing w:val="1"/>
                <w:sz w:val="19"/>
                <w:szCs w:val="19"/>
              </w:rPr>
              <w:t>共</w:t>
            </w:r>
            <w:r>
              <w:rPr>
                <w:rFonts w:hint="default" w:ascii="Times New Roman" w:hAnsi="Times New Roman" w:eastAsia="仿宋_GB2312" w:cs="Times New Roman"/>
                <w:spacing w:val="5"/>
                <w:sz w:val="19"/>
                <w:szCs w:val="19"/>
              </w:rPr>
              <w:t>活动</w:t>
            </w:r>
          </w:p>
          <w:p w14:paraId="4039F0F4">
            <w:pPr>
              <w:spacing w:before="62" w:line="284" w:lineRule="auto"/>
              <w:ind w:right="238"/>
              <w:jc w:val="center"/>
              <w:rPr>
                <w:rFonts w:hint="default" w:ascii="Times New Roman" w:hAnsi="Times New Roman" w:eastAsia="仿宋_GB2312" w:cs="Times New Roman"/>
                <w:sz w:val="19"/>
                <w:szCs w:val="19"/>
              </w:rPr>
            </w:pPr>
            <w:r>
              <w:rPr>
                <w:rFonts w:hint="default" w:ascii="Times New Roman" w:hAnsi="Times New Roman" w:eastAsia="仿宋_GB2312" w:cs="Times New Roman"/>
                <w:spacing w:val="5"/>
                <w:sz w:val="19"/>
                <w:szCs w:val="19"/>
              </w:rPr>
              <w:t>场地</w:t>
            </w:r>
          </w:p>
        </w:tc>
        <w:tc>
          <w:tcPr>
            <w:tcW w:w="2152" w:type="dxa"/>
          </w:tcPr>
          <w:p w14:paraId="228E5267">
            <w:pPr>
              <w:spacing w:line="300" w:lineRule="auto"/>
              <w:rPr>
                <w:rFonts w:hint="default" w:ascii="Times New Roman" w:hAnsi="Times New Roman" w:eastAsia="仿宋_GB2312" w:cs="Times New Roman"/>
              </w:rPr>
            </w:pPr>
          </w:p>
          <w:p w14:paraId="1FEDD299">
            <w:pPr>
              <w:spacing w:before="62" w:line="286" w:lineRule="auto"/>
              <w:ind w:left="119" w:right="242" w:hanging="1"/>
              <w:rPr>
                <w:rFonts w:hint="default" w:ascii="Times New Roman" w:hAnsi="Times New Roman" w:eastAsia="仿宋_GB2312" w:cs="Times New Roman"/>
                <w:sz w:val="19"/>
                <w:szCs w:val="19"/>
              </w:rPr>
            </w:pPr>
            <w:r>
              <w:rPr>
                <w:rFonts w:hint="default" w:ascii="Times New Roman" w:hAnsi="Times New Roman" w:eastAsia="仿宋_GB2312" w:cs="Times New Roman"/>
                <w:spacing w:val="12"/>
                <w:sz w:val="19"/>
                <w:szCs w:val="19"/>
              </w:rPr>
              <w:t>社</w:t>
            </w:r>
            <w:r>
              <w:rPr>
                <w:rFonts w:hint="default" w:ascii="Times New Roman" w:hAnsi="Times New Roman" w:eastAsia="仿宋_GB2312" w:cs="Times New Roman"/>
                <w:spacing w:val="8"/>
                <w:sz w:val="19"/>
                <w:szCs w:val="19"/>
              </w:rPr>
              <w:t>区公共活动场地面</w:t>
            </w:r>
            <w:r>
              <w:rPr>
                <w:rFonts w:hint="default" w:ascii="Times New Roman" w:hAnsi="Times New Roman" w:eastAsia="仿宋_GB2312" w:cs="Times New Roman"/>
                <w:sz w:val="19"/>
                <w:szCs w:val="19"/>
              </w:rPr>
              <w:t xml:space="preserve"> </w:t>
            </w:r>
            <w:r>
              <w:rPr>
                <w:rFonts w:hint="default" w:ascii="Times New Roman" w:hAnsi="Times New Roman" w:eastAsia="仿宋_GB2312" w:cs="Times New Roman"/>
                <w:spacing w:val="7"/>
                <w:sz w:val="19"/>
                <w:szCs w:val="19"/>
              </w:rPr>
              <w:t>积是否达标</w:t>
            </w:r>
          </w:p>
        </w:tc>
        <w:tc>
          <w:tcPr>
            <w:tcW w:w="4371" w:type="dxa"/>
            <w:gridSpan w:val="2"/>
          </w:tcPr>
          <w:p w14:paraId="4E3DC280">
            <w:pPr>
              <w:spacing w:before="52" w:line="229" w:lineRule="auto"/>
              <w:ind w:left="1507"/>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w:t>
            </w:r>
            <w:r>
              <w:rPr>
                <w:rFonts w:hint="default" w:ascii="Times New Roman" w:hAnsi="Times New Roman" w:eastAsia="仿宋_GB2312" w:cs="Times New Roman"/>
                <w:spacing w:val="6"/>
                <w:sz w:val="19"/>
                <w:szCs w:val="19"/>
              </w:rPr>
              <w:t>是</w:t>
            </w:r>
            <w:r>
              <w:rPr>
                <w:rFonts w:hint="default" w:ascii="Times New Roman" w:hAnsi="Times New Roman" w:eastAsia="仿宋_GB2312" w:cs="Times New Roman"/>
                <w:spacing w:val="4"/>
                <w:sz w:val="19"/>
                <w:szCs w:val="19"/>
              </w:rPr>
              <w:t xml:space="preserve">      □否</w:t>
            </w:r>
          </w:p>
          <w:p w14:paraId="3BCB96EB">
            <w:pPr>
              <w:tabs>
                <w:tab w:val="left" w:pos="216"/>
              </w:tabs>
              <w:spacing w:before="46" w:line="268" w:lineRule="auto"/>
              <w:ind w:left="116" w:right="385" w:firstLine="276"/>
              <w:rPr>
                <w:rFonts w:hint="default" w:ascii="Times New Roman" w:hAnsi="Times New Roman" w:eastAsia="仿宋_GB2312" w:cs="Times New Roman"/>
                <w:sz w:val="19"/>
                <w:szCs w:val="19"/>
              </w:rPr>
            </w:pPr>
            <w:r>
              <w:rPr>
                <w:rFonts w:hint="default" w:ascii="Times New Roman" w:hAnsi="Times New Roman" w:eastAsia="仿宋_GB2312" w:cs="Times New Roman"/>
                <w:spacing w:val="20"/>
                <w:sz w:val="19"/>
                <w:szCs w:val="19"/>
              </w:rPr>
              <w:t>用</w:t>
            </w:r>
            <w:r>
              <w:rPr>
                <w:rFonts w:hint="default" w:ascii="Times New Roman" w:hAnsi="Times New Roman" w:eastAsia="仿宋_GB2312" w:cs="Times New Roman"/>
                <w:spacing w:val="12"/>
                <w:sz w:val="19"/>
                <w:szCs w:val="19"/>
              </w:rPr>
              <w:t>地</w:t>
            </w:r>
            <w:r>
              <w:rPr>
                <w:rFonts w:hint="default" w:ascii="Times New Roman" w:hAnsi="Times New Roman" w:eastAsia="仿宋_GB2312" w:cs="Times New Roman"/>
                <w:spacing w:val="10"/>
                <w:sz w:val="19"/>
                <w:szCs w:val="19"/>
              </w:rPr>
              <w:t>面积（合计）： ____________平方米</w:t>
            </w:r>
            <w:r>
              <w:rPr>
                <w:rFonts w:hint="default" w:ascii="Times New Roman" w:hAnsi="Times New Roman" w:eastAsia="仿宋_GB2312" w:cs="Times New Roman"/>
                <w:sz w:val="19"/>
                <w:szCs w:val="19"/>
              </w:rPr>
              <w:t xml:space="preserve"> </w:t>
            </w:r>
            <w:r>
              <w:rPr>
                <w:rFonts w:hint="default" w:ascii="Times New Roman" w:hAnsi="Times New Roman" w:eastAsia="仿宋_GB2312" w:cs="Times New Roman"/>
                <w:sz w:val="19"/>
                <w:szCs w:val="19"/>
              </w:rPr>
              <w:tab/>
            </w:r>
            <w:r>
              <w:rPr>
                <w:rFonts w:hint="default" w:ascii="Times New Roman" w:hAnsi="Times New Roman" w:eastAsia="仿宋_GB2312" w:cs="Times New Roman"/>
                <w:sz w:val="19"/>
                <w:szCs w:val="19"/>
              </w:rPr>
              <w:t>（</w:t>
            </w:r>
            <w:r>
              <w:rPr>
                <w:rFonts w:hint="default" w:ascii="Times New Roman" w:hAnsi="Times New Roman" w:eastAsia="仿宋_GB2312" w:cs="Times New Roman"/>
                <w:spacing w:val="2"/>
                <w:sz w:val="19"/>
                <w:szCs w:val="19"/>
              </w:rPr>
              <w:t>既有社区，用地面积不小于 150 平方米。</w:t>
            </w:r>
            <w:r>
              <w:rPr>
                <w:rFonts w:hint="default" w:ascii="Times New Roman" w:hAnsi="Times New Roman" w:eastAsia="仿宋_GB2312" w:cs="Times New Roman"/>
                <w:sz w:val="19"/>
                <w:szCs w:val="19"/>
              </w:rPr>
              <w:t xml:space="preserve"> </w:t>
            </w:r>
            <w:r>
              <w:rPr>
                <w:rFonts w:hint="default" w:ascii="Times New Roman" w:hAnsi="Times New Roman" w:eastAsia="仿宋_GB2312" w:cs="Times New Roman"/>
                <w:spacing w:val="4"/>
                <w:sz w:val="19"/>
                <w:szCs w:val="19"/>
              </w:rPr>
              <w:t>新建社区，用</w:t>
            </w:r>
            <w:r>
              <w:rPr>
                <w:rFonts w:hint="default" w:ascii="Times New Roman" w:hAnsi="Times New Roman" w:eastAsia="仿宋_GB2312" w:cs="Times New Roman"/>
                <w:spacing w:val="3"/>
                <w:sz w:val="19"/>
                <w:szCs w:val="19"/>
              </w:rPr>
              <w:t>地</w:t>
            </w:r>
            <w:r>
              <w:rPr>
                <w:rFonts w:hint="default" w:ascii="Times New Roman" w:hAnsi="Times New Roman" w:eastAsia="仿宋_GB2312" w:cs="Times New Roman"/>
                <w:spacing w:val="2"/>
                <w:sz w:val="19"/>
                <w:szCs w:val="19"/>
              </w:rPr>
              <w:t>面积不小于 800 平方米）</w:t>
            </w:r>
          </w:p>
        </w:tc>
      </w:tr>
      <w:tr w14:paraId="7238F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8" w:hRule="atLeast"/>
          <w:jc w:val="center"/>
        </w:trPr>
        <w:tc>
          <w:tcPr>
            <w:tcW w:w="538" w:type="dxa"/>
            <w:vMerge w:val="continue"/>
          </w:tcPr>
          <w:p w14:paraId="6F7D5E39">
            <w:pPr>
              <w:rPr>
                <w:rFonts w:hint="default" w:ascii="Times New Roman" w:hAnsi="Times New Roman" w:eastAsia="仿宋_GB2312" w:cs="Times New Roman"/>
              </w:rPr>
            </w:pPr>
          </w:p>
        </w:tc>
        <w:tc>
          <w:tcPr>
            <w:tcW w:w="1134" w:type="dxa"/>
            <w:vMerge w:val="continue"/>
            <w:tcBorders>
              <w:top w:val="nil"/>
              <w:bottom w:val="nil"/>
            </w:tcBorders>
          </w:tcPr>
          <w:p w14:paraId="04FDFBA9">
            <w:pPr>
              <w:rPr>
                <w:rFonts w:hint="default" w:ascii="Times New Roman" w:hAnsi="Times New Roman" w:eastAsia="仿宋_GB2312" w:cs="Times New Roman"/>
              </w:rPr>
            </w:pPr>
          </w:p>
        </w:tc>
        <w:tc>
          <w:tcPr>
            <w:tcW w:w="424" w:type="dxa"/>
            <w:vMerge w:val="continue"/>
            <w:tcBorders>
              <w:top w:val="nil"/>
              <w:bottom w:val="nil"/>
            </w:tcBorders>
          </w:tcPr>
          <w:p w14:paraId="135EA349">
            <w:pPr>
              <w:rPr>
                <w:rFonts w:hint="default" w:ascii="Times New Roman" w:hAnsi="Times New Roman" w:eastAsia="仿宋_GB2312" w:cs="Times New Roman"/>
              </w:rPr>
            </w:pPr>
          </w:p>
        </w:tc>
        <w:tc>
          <w:tcPr>
            <w:tcW w:w="1277" w:type="dxa"/>
            <w:vMerge w:val="continue"/>
            <w:tcBorders>
              <w:top w:val="nil"/>
              <w:bottom w:val="nil"/>
            </w:tcBorders>
          </w:tcPr>
          <w:p w14:paraId="456F50EF">
            <w:pPr>
              <w:rPr>
                <w:rFonts w:hint="default" w:ascii="Times New Roman" w:hAnsi="Times New Roman" w:eastAsia="仿宋_GB2312" w:cs="Times New Roman"/>
              </w:rPr>
            </w:pPr>
          </w:p>
        </w:tc>
        <w:tc>
          <w:tcPr>
            <w:tcW w:w="2152" w:type="dxa"/>
          </w:tcPr>
          <w:p w14:paraId="77C0280D">
            <w:pPr>
              <w:spacing w:line="374" w:lineRule="auto"/>
              <w:rPr>
                <w:rFonts w:hint="default" w:ascii="Times New Roman" w:hAnsi="Times New Roman" w:eastAsia="仿宋_GB2312" w:cs="Times New Roman"/>
              </w:rPr>
            </w:pPr>
          </w:p>
          <w:p w14:paraId="2EEDE0DE">
            <w:pPr>
              <w:spacing w:before="62" w:line="286" w:lineRule="auto"/>
              <w:ind w:left="117" w:right="242" w:firstLine="4"/>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公共绿地面积是否达</w:t>
            </w:r>
            <w:r>
              <w:rPr>
                <w:rFonts w:hint="default" w:ascii="Times New Roman" w:hAnsi="Times New Roman" w:eastAsia="仿宋_GB2312" w:cs="Times New Roman"/>
                <w:sz w:val="19"/>
                <w:szCs w:val="19"/>
              </w:rPr>
              <w:t xml:space="preserve"> 标</w:t>
            </w:r>
          </w:p>
        </w:tc>
        <w:tc>
          <w:tcPr>
            <w:tcW w:w="4371" w:type="dxa"/>
            <w:gridSpan w:val="2"/>
          </w:tcPr>
          <w:p w14:paraId="6BB05541">
            <w:pPr>
              <w:spacing w:before="53" w:line="229" w:lineRule="auto"/>
              <w:ind w:left="1507"/>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w:t>
            </w:r>
            <w:r>
              <w:rPr>
                <w:rFonts w:hint="default" w:ascii="Times New Roman" w:hAnsi="Times New Roman" w:eastAsia="仿宋_GB2312" w:cs="Times New Roman"/>
                <w:spacing w:val="6"/>
                <w:sz w:val="19"/>
                <w:szCs w:val="19"/>
              </w:rPr>
              <w:t>是</w:t>
            </w:r>
            <w:r>
              <w:rPr>
                <w:rFonts w:hint="default" w:ascii="Times New Roman" w:hAnsi="Times New Roman" w:eastAsia="仿宋_GB2312" w:cs="Times New Roman"/>
                <w:spacing w:val="4"/>
                <w:sz w:val="19"/>
                <w:szCs w:val="19"/>
              </w:rPr>
              <w:t xml:space="preserve">      □否</w:t>
            </w:r>
          </w:p>
          <w:p w14:paraId="678F5DDB">
            <w:pPr>
              <w:spacing w:before="44" w:line="228" w:lineRule="auto"/>
              <w:ind w:left="791"/>
              <w:rPr>
                <w:rFonts w:hint="default" w:ascii="Times New Roman" w:hAnsi="Times New Roman" w:eastAsia="仿宋_GB2312" w:cs="Times New Roman"/>
                <w:sz w:val="19"/>
                <w:szCs w:val="19"/>
              </w:rPr>
            </w:pPr>
            <w:r>
              <w:rPr>
                <w:rFonts w:hint="default" w:ascii="Times New Roman" w:hAnsi="Times New Roman" w:eastAsia="仿宋_GB2312" w:cs="Times New Roman"/>
                <w:spacing w:val="12"/>
                <w:sz w:val="19"/>
                <w:szCs w:val="19"/>
              </w:rPr>
              <w:t>用</w:t>
            </w:r>
            <w:r>
              <w:rPr>
                <w:rFonts w:hint="default" w:ascii="Times New Roman" w:hAnsi="Times New Roman" w:eastAsia="仿宋_GB2312" w:cs="Times New Roman"/>
                <w:spacing w:val="8"/>
                <w:sz w:val="19"/>
                <w:szCs w:val="19"/>
              </w:rPr>
              <w:t>地</w:t>
            </w:r>
            <w:r>
              <w:rPr>
                <w:rFonts w:hint="default" w:ascii="Times New Roman" w:hAnsi="Times New Roman" w:eastAsia="仿宋_GB2312" w:cs="Times New Roman"/>
                <w:spacing w:val="6"/>
                <w:sz w:val="19"/>
                <w:szCs w:val="19"/>
              </w:rPr>
              <w:t>面积：____________平方米</w:t>
            </w:r>
          </w:p>
          <w:p w14:paraId="1599FEC1">
            <w:pPr>
              <w:spacing w:before="197" w:line="227" w:lineRule="auto"/>
              <w:ind w:left="121"/>
              <w:rPr>
                <w:rFonts w:hint="default" w:ascii="Times New Roman" w:hAnsi="Times New Roman" w:eastAsia="仿宋_GB2312" w:cs="Times New Roman"/>
                <w:sz w:val="19"/>
                <w:szCs w:val="19"/>
              </w:rPr>
            </w:pPr>
            <w:r>
              <w:rPr>
                <w:rFonts w:hint="default" w:ascii="Times New Roman" w:hAnsi="Times New Roman" w:eastAsia="仿宋_GB2312" w:cs="Times New Roman"/>
                <w:spacing w:val="13"/>
                <w:sz w:val="19"/>
                <w:szCs w:val="19"/>
              </w:rPr>
              <w:t>（既有社区，至少有一片公共绿地</w:t>
            </w:r>
            <w:r>
              <w:rPr>
                <w:rFonts w:hint="default" w:ascii="Times New Roman" w:hAnsi="Times New Roman" w:eastAsia="仿宋_GB2312" w:cs="Times New Roman"/>
                <w:spacing w:val="10"/>
                <w:sz w:val="19"/>
                <w:szCs w:val="19"/>
              </w:rPr>
              <w:t>。</w:t>
            </w:r>
          </w:p>
          <w:p w14:paraId="37519603">
            <w:pPr>
              <w:spacing w:before="78" w:line="227" w:lineRule="auto"/>
              <w:ind w:left="116"/>
              <w:rPr>
                <w:rFonts w:hint="default" w:ascii="Times New Roman" w:hAnsi="Times New Roman" w:eastAsia="仿宋_GB2312" w:cs="Times New Roman"/>
                <w:sz w:val="19"/>
                <w:szCs w:val="19"/>
              </w:rPr>
            </w:pPr>
            <w:r>
              <w:rPr>
                <w:rFonts w:hint="default" w:ascii="Times New Roman" w:hAnsi="Times New Roman" w:eastAsia="仿宋_GB2312" w:cs="Times New Roman"/>
                <w:spacing w:val="4"/>
                <w:sz w:val="19"/>
                <w:szCs w:val="19"/>
              </w:rPr>
              <w:t>新建社区，用地面</w:t>
            </w:r>
            <w:r>
              <w:rPr>
                <w:rFonts w:hint="default" w:ascii="Times New Roman" w:hAnsi="Times New Roman" w:eastAsia="仿宋_GB2312" w:cs="Times New Roman"/>
                <w:spacing w:val="2"/>
                <w:sz w:val="19"/>
                <w:szCs w:val="19"/>
              </w:rPr>
              <w:t>积不小于 4000 平方米）</w:t>
            </w:r>
          </w:p>
        </w:tc>
      </w:tr>
      <w:tr w14:paraId="5175AB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7" w:hRule="atLeast"/>
          <w:jc w:val="center"/>
        </w:trPr>
        <w:tc>
          <w:tcPr>
            <w:tcW w:w="538" w:type="dxa"/>
            <w:vMerge w:val="continue"/>
          </w:tcPr>
          <w:p w14:paraId="2E50CD69">
            <w:pPr>
              <w:rPr>
                <w:rFonts w:hint="default" w:ascii="Times New Roman" w:hAnsi="Times New Roman" w:eastAsia="仿宋_GB2312" w:cs="Times New Roman"/>
              </w:rPr>
            </w:pPr>
          </w:p>
        </w:tc>
        <w:tc>
          <w:tcPr>
            <w:tcW w:w="1134" w:type="dxa"/>
            <w:vMerge w:val="continue"/>
            <w:tcBorders>
              <w:top w:val="nil"/>
              <w:bottom w:val="nil"/>
            </w:tcBorders>
          </w:tcPr>
          <w:p w14:paraId="5DB8855A">
            <w:pPr>
              <w:rPr>
                <w:rFonts w:hint="default" w:ascii="Times New Roman" w:hAnsi="Times New Roman" w:eastAsia="仿宋_GB2312" w:cs="Times New Roman"/>
              </w:rPr>
            </w:pPr>
          </w:p>
        </w:tc>
        <w:tc>
          <w:tcPr>
            <w:tcW w:w="424" w:type="dxa"/>
            <w:vMerge w:val="continue"/>
            <w:tcBorders>
              <w:top w:val="nil"/>
            </w:tcBorders>
          </w:tcPr>
          <w:p w14:paraId="0614965E">
            <w:pPr>
              <w:rPr>
                <w:rFonts w:hint="default" w:ascii="Times New Roman" w:hAnsi="Times New Roman" w:eastAsia="仿宋_GB2312" w:cs="Times New Roman"/>
              </w:rPr>
            </w:pPr>
          </w:p>
        </w:tc>
        <w:tc>
          <w:tcPr>
            <w:tcW w:w="1277" w:type="dxa"/>
            <w:vMerge w:val="continue"/>
            <w:tcBorders>
              <w:top w:val="nil"/>
            </w:tcBorders>
          </w:tcPr>
          <w:p w14:paraId="72C8DC35">
            <w:pPr>
              <w:rPr>
                <w:rFonts w:hint="default" w:ascii="Times New Roman" w:hAnsi="Times New Roman" w:eastAsia="仿宋_GB2312" w:cs="Times New Roman"/>
              </w:rPr>
            </w:pPr>
          </w:p>
        </w:tc>
        <w:tc>
          <w:tcPr>
            <w:tcW w:w="2152" w:type="dxa"/>
          </w:tcPr>
          <w:p w14:paraId="47FBE7A0">
            <w:pPr>
              <w:spacing w:line="344" w:lineRule="auto"/>
              <w:rPr>
                <w:rFonts w:hint="default" w:ascii="Times New Roman" w:hAnsi="Times New Roman" w:eastAsia="仿宋_GB2312" w:cs="Times New Roman"/>
              </w:rPr>
            </w:pPr>
          </w:p>
          <w:p w14:paraId="27705F10">
            <w:pPr>
              <w:spacing w:line="345" w:lineRule="auto"/>
              <w:rPr>
                <w:rFonts w:hint="default" w:ascii="Times New Roman" w:hAnsi="Times New Roman" w:eastAsia="仿宋_GB2312" w:cs="Times New Roman"/>
              </w:rPr>
            </w:pPr>
          </w:p>
          <w:p w14:paraId="00F33CDA">
            <w:pPr>
              <w:spacing w:before="61" w:line="224" w:lineRule="auto"/>
              <w:ind w:left="121"/>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存</w:t>
            </w:r>
            <w:r>
              <w:rPr>
                <w:rFonts w:hint="default" w:ascii="Times New Roman" w:hAnsi="Times New Roman" w:eastAsia="仿宋_GB2312" w:cs="Times New Roman"/>
                <w:spacing w:val="7"/>
                <w:sz w:val="19"/>
                <w:szCs w:val="19"/>
              </w:rPr>
              <w:t>在哪些问题</w:t>
            </w:r>
          </w:p>
        </w:tc>
        <w:tc>
          <w:tcPr>
            <w:tcW w:w="4371" w:type="dxa"/>
            <w:gridSpan w:val="2"/>
          </w:tcPr>
          <w:p w14:paraId="1D1E900E">
            <w:pPr>
              <w:spacing w:before="56" w:line="278" w:lineRule="exact"/>
              <w:ind w:left="120"/>
              <w:rPr>
                <w:rFonts w:hint="default" w:ascii="Times New Roman" w:hAnsi="Times New Roman" w:eastAsia="仿宋_GB2312" w:cs="Times New Roman"/>
                <w:sz w:val="19"/>
                <w:szCs w:val="19"/>
              </w:rPr>
            </w:pPr>
            <w:r>
              <w:rPr>
                <w:rFonts w:hint="default" w:ascii="Times New Roman" w:hAnsi="Times New Roman" w:eastAsia="仿宋_GB2312" w:cs="Times New Roman"/>
                <w:position w:val="5"/>
                <w:sz w:val="19"/>
                <w:szCs w:val="19"/>
              </w:rPr>
              <w:drawing>
                <wp:inline distT="0" distB="0" distL="0" distR="0">
                  <wp:extent cx="95250" cy="95250"/>
                  <wp:effectExtent l="0" t="0" r="0" b="0"/>
                  <wp:docPr id="78" name="IM 76"/>
                  <wp:cNvGraphicFramePr/>
                  <a:graphic xmlns:a="http://schemas.openxmlformats.org/drawingml/2006/main">
                    <a:graphicData uri="http://schemas.openxmlformats.org/drawingml/2006/picture">
                      <pic:pic xmlns:pic="http://schemas.openxmlformats.org/drawingml/2006/picture">
                        <pic:nvPicPr>
                          <pic:cNvPr id="78" name="IM 76"/>
                          <pic:cNvPicPr>
                            <a:picLocks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95250" cy="95250"/>
                          </a:xfrm>
                          <a:prstGeom prst="rect">
                            <a:avLst/>
                          </a:prstGeom>
                          <a:noFill/>
                          <a:ln>
                            <a:noFill/>
                          </a:ln>
                        </pic:spPr>
                      </pic:pic>
                    </a:graphicData>
                  </a:graphic>
                </wp:inline>
              </w:drawing>
            </w:r>
            <w:r>
              <w:rPr>
                <w:rFonts w:hint="default" w:ascii="Times New Roman" w:hAnsi="Times New Roman" w:eastAsia="仿宋_GB2312" w:cs="Times New Roman"/>
                <w:spacing w:val="16"/>
                <w:position w:val="5"/>
                <w:sz w:val="19"/>
                <w:szCs w:val="19"/>
              </w:rPr>
              <w:t>儿</w:t>
            </w:r>
            <w:r>
              <w:rPr>
                <w:rFonts w:hint="default" w:ascii="Times New Roman" w:hAnsi="Times New Roman" w:eastAsia="仿宋_GB2312" w:cs="Times New Roman"/>
                <w:spacing w:val="11"/>
                <w:position w:val="5"/>
                <w:sz w:val="19"/>
                <w:szCs w:val="19"/>
              </w:rPr>
              <w:t>童娱乐设施不足或破损</w:t>
            </w:r>
          </w:p>
          <w:p w14:paraId="7808DCEC">
            <w:pPr>
              <w:spacing w:line="227" w:lineRule="auto"/>
              <w:ind w:left="120"/>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rPr>
              <w:drawing>
                <wp:inline distT="0" distB="0" distL="0" distR="0">
                  <wp:extent cx="95250" cy="95250"/>
                  <wp:effectExtent l="0" t="0" r="0" b="0"/>
                  <wp:docPr id="79" name="IM 77"/>
                  <wp:cNvGraphicFramePr/>
                  <a:graphic xmlns:a="http://schemas.openxmlformats.org/drawingml/2006/main">
                    <a:graphicData uri="http://schemas.openxmlformats.org/drawingml/2006/picture">
                      <pic:pic xmlns:pic="http://schemas.openxmlformats.org/drawingml/2006/picture">
                        <pic:nvPicPr>
                          <pic:cNvPr id="79" name="IM 77"/>
                          <pic:cNvPicPr>
                            <a:picLocks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95250" cy="95250"/>
                          </a:xfrm>
                          <a:prstGeom prst="rect">
                            <a:avLst/>
                          </a:prstGeom>
                          <a:noFill/>
                          <a:ln>
                            <a:noFill/>
                          </a:ln>
                        </pic:spPr>
                      </pic:pic>
                    </a:graphicData>
                  </a:graphic>
                </wp:inline>
              </w:drawing>
            </w:r>
            <w:r>
              <w:rPr>
                <w:rFonts w:hint="default" w:ascii="Times New Roman" w:hAnsi="Times New Roman" w:eastAsia="仿宋_GB2312" w:cs="Times New Roman"/>
                <w:spacing w:val="16"/>
                <w:sz w:val="19"/>
                <w:szCs w:val="19"/>
              </w:rPr>
              <w:t>老</w:t>
            </w:r>
            <w:r>
              <w:rPr>
                <w:rFonts w:hint="default" w:ascii="Times New Roman" w:hAnsi="Times New Roman" w:eastAsia="仿宋_GB2312" w:cs="Times New Roman"/>
                <w:spacing w:val="11"/>
                <w:sz w:val="19"/>
                <w:szCs w:val="19"/>
              </w:rPr>
              <w:t>年活动设施不足或破损</w:t>
            </w:r>
          </w:p>
          <w:p w14:paraId="53CFD25C">
            <w:pPr>
              <w:spacing w:before="47" w:line="227" w:lineRule="auto"/>
              <w:ind w:left="120"/>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rPr>
              <w:drawing>
                <wp:inline distT="0" distB="0" distL="0" distR="0">
                  <wp:extent cx="95250" cy="95250"/>
                  <wp:effectExtent l="0" t="0" r="0" b="0"/>
                  <wp:docPr id="80" name="IM 78"/>
                  <wp:cNvGraphicFramePr/>
                  <a:graphic xmlns:a="http://schemas.openxmlformats.org/drawingml/2006/main">
                    <a:graphicData uri="http://schemas.openxmlformats.org/drawingml/2006/picture">
                      <pic:pic xmlns:pic="http://schemas.openxmlformats.org/drawingml/2006/picture">
                        <pic:nvPicPr>
                          <pic:cNvPr id="80" name="IM 78"/>
                          <pic:cNvPicPr>
                            <a:picLocks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95250" cy="95250"/>
                          </a:xfrm>
                          <a:prstGeom prst="rect">
                            <a:avLst/>
                          </a:prstGeom>
                          <a:noFill/>
                          <a:ln>
                            <a:noFill/>
                          </a:ln>
                        </pic:spPr>
                      </pic:pic>
                    </a:graphicData>
                  </a:graphic>
                </wp:inline>
              </w:drawing>
            </w:r>
            <w:r>
              <w:rPr>
                <w:rFonts w:hint="default" w:ascii="Times New Roman" w:hAnsi="Times New Roman" w:eastAsia="仿宋_GB2312" w:cs="Times New Roman"/>
                <w:spacing w:val="16"/>
                <w:sz w:val="19"/>
                <w:szCs w:val="19"/>
              </w:rPr>
              <w:t>体</w:t>
            </w:r>
            <w:r>
              <w:rPr>
                <w:rFonts w:hint="default" w:ascii="Times New Roman" w:hAnsi="Times New Roman" w:eastAsia="仿宋_GB2312" w:cs="Times New Roman"/>
                <w:spacing w:val="11"/>
                <w:sz w:val="19"/>
                <w:szCs w:val="19"/>
              </w:rPr>
              <w:t>育健身设施不足或破损</w:t>
            </w:r>
          </w:p>
          <w:p w14:paraId="4E03124D">
            <w:pPr>
              <w:spacing w:before="46" w:line="226" w:lineRule="auto"/>
              <w:ind w:left="120"/>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rPr>
              <w:drawing>
                <wp:inline distT="0" distB="0" distL="0" distR="0">
                  <wp:extent cx="95250" cy="95250"/>
                  <wp:effectExtent l="0" t="0" r="0" b="0"/>
                  <wp:docPr id="81" name="IM 79"/>
                  <wp:cNvGraphicFramePr/>
                  <a:graphic xmlns:a="http://schemas.openxmlformats.org/drawingml/2006/main">
                    <a:graphicData uri="http://schemas.openxmlformats.org/drawingml/2006/picture">
                      <pic:pic xmlns:pic="http://schemas.openxmlformats.org/drawingml/2006/picture">
                        <pic:nvPicPr>
                          <pic:cNvPr id="81" name="IM 79"/>
                          <pic:cNvPicPr>
                            <a:picLocks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95250" cy="95250"/>
                          </a:xfrm>
                          <a:prstGeom prst="rect">
                            <a:avLst/>
                          </a:prstGeom>
                          <a:noFill/>
                          <a:ln>
                            <a:noFill/>
                          </a:ln>
                        </pic:spPr>
                      </pic:pic>
                    </a:graphicData>
                  </a:graphic>
                </wp:inline>
              </w:drawing>
            </w:r>
            <w:r>
              <w:rPr>
                <w:rFonts w:hint="default" w:ascii="Times New Roman" w:hAnsi="Times New Roman" w:eastAsia="仿宋_GB2312" w:cs="Times New Roman"/>
                <w:spacing w:val="18"/>
                <w:sz w:val="19"/>
                <w:szCs w:val="19"/>
              </w:rPr>
              <w:t>不</w:t>
            </w:r>
            <w:r>
              <w:rPr>
                <w:rFonts w:hint="default" w:ascii="Times New Roman" w:hAnsi="Times New Roman" w:eastAsia="仿宋_GB2312" w:cs="Times New Roman"/>
                <w:spacing w:val="11"/>
                <w:sz w:val="19"/>
                <w:szCs w:val="19"/>
              </w:rPr>
              <w:t>符合无障碍设计要求</w:t>
            </w:r>
          </w:p>
          <w:p w14:paraId="1A29F9E1">
            <w:pPr>
              <w:spacing w:before="46" w:line="224" w:lineRule="auto"/>
              <w:ind w:left="120"/>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rPr>
              <w:drawing>
                <wp:inline distT="0" distB="0" distL="0" distR="0">
                  <wp:extent cx="95250" cy="95250"/>
                  <wp:effectExtent l="0" t="0" r="0" b="0"/>
                  <wp:docPr id="82" name="IM 80"/>
                  <wp:cNvGraphicFramePr/>
                  <a:graphic xmlns:a="http://schemas.openxmlformats.org/drawingml/2006/main">
                    <a:graphicData uri="http://schemas.openxmlformats.org/drawingml/2006/picture">
                      <pic:pic xmlns:pic="http://schemas.openxmlformats.org/drawingml/2006/picture">
                        <pic:nvPicPr>
                          <pic:cNvPr id="82" name="IM 80"/>
                          <pic:cNvPicPr>
                            <a:picLocks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95250" cy="95250"/>
                          </a:xfrm>
                          <a:prstGeom prst="rect">
                            <a:avLst/>
                          </a:prstGeom>
                          <a:noFill/>
                          <a:ln>
                            <a:noFill/>
                          </a:ln>
                        </pic:spPr>
                      </pic:pic>
                    </a:graphicData>
                  </a:graphic>
                </wp:inline>
              </w:drawing>
            </w:r>
            <w:r>
              <w:rPr>
                <w:rFonts w:hint="default" w:ascii="Times New Roman" w:hAnsi="Times New Roman" w:eastAsia="仿宋_GB2312" w:cs="Times New Roman"/>
                <w:spacing w:val="18"/>
                <w:sz w:val="19"/>
                <w:szCs w:val="19"/>
              </w:rPr>
              <w:t>场</w:t>
            </w:r>
            <w:r>
              <w:rPr>
                <w:rFonts w:hint="default" w:ascii="Times New Roman" w:hAnsi="Times New Roman" w:eastAsia="仿宋_GB2312" w:cs="Times New Roman"/>
                <w:spacing w:val="11"/>
                <w:sz w:val="19"/>
                <w:szCs w:val="19"/>
              </w:rPr>
              <w:t>地存在私搭乱建问题</w:t>
            </w:r>
          </w:p>
          <w:p w14:paraId="0B35933D">
            <w:pPr>
              <w:spacing w:before="50" w:line="223" w:lineRule="auto"/>
              <w:ind w:left="132"/>
              <w:rPr>
                <w:rFonts w:hint="default" w:ascii="Times New Roman" w:hAnsi="Times New Roman" w:eastAsia="仿宋_GB2312" w:cs="Times New Roman"/>
                <w:sz w:val="19"/>
                <w:szCs w:val="19"/>
              </w:rPr>
            </w:pPr>
            <w:r>
              <w:rPr>
                <w:rFonts w:hint="default" w:ascii="Times New Roman" w:hAnsi="Times New Roman" w:eastAsia="仿宋_GB2312" w:cs="Times New Roman"/>
                <w:spacing w:val="-1"/>
                <w:sz w:val="19"/>
                <w:szCs w:val="19"/>
              </w:rPr>
              <w:t>□其</w:t>
            </w:r>
            <w:r>
              <w:rPr>
                <w:rFonts w:hint="default" w:ascii="Times New Roman" w:hAnsi="Times New Roman" w:eastAsia="仿宋_GB2312" w:cs="Times New Roman"/>
                <w:sz w:val="19"/>
                <w:szCs w:val="19"/>
              </w:rPr>
              <w:t>他问题： ____________</w:t>
            </w:r>
          </w:p>
        </w:tc>
      </w:tr>
      <w:tr w14:paraId="087A19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538" w:type="dxa"/>
            <w:vMerge w:val="continue"/>
          </w:tcPr>
          <w:p w14:paraId="1CCA1B31">
            <w:pPr>
              <w:rPr>
                <w:rFonts w:hint="default" w:ascii="Times New Roman" w:hAnsi="Times New Roman" w:eastAsia="仿宋_GB2312" w:cs="Times New Roman"/>
              </w:rPr>
            </w:pPr>
          </w:p>
        </w:tc>
        <w:tc>
          <w:tcPr>
            <w:tcW w:w="1134" w:type="dxa"/>
            <w:vMerge w:val="continue"/>
            <w:tcBorders>
              <w:top w:val="nil"/>
              <w:bottom w:val="nil"/>
            </w:tcBorders>
          </w:tcPr>
          <w:p w14:paraId="41E5FBF0">
            <w:pPr>
              <w:rPr>
                <w:rFonts w:hint="default" w:ascii="Times New Roman" w:hAnsi="Times New Roman" w:eastAsia="仿宋_GB2312" w:cs="Times New Roman"/>
              </w:rPr>
            </w:pPr>
          </w:p>
        </w:tc>
        <w:tc>
          <w:tcPr>
            <w:tcW w:w="424" w:type="dxa"/>
            <w:vMerge w:val="restart"/>
            <w:tcBorders>
              <w:bottom w:val="nil"/>
            </w:tcBorders>
          </w:tcPr>
          <w:p w14:paraId="5FE51315">
            <w:pPr>
              <w:spacing w:line="277" w:lineRule="auto"/>
              <w:rPr>
                <w:rFonts w:hint="default" w:ascii="Times New Roman" w:hAnsi="Times New Roman" w:eastAsia="仿宋_GB2312" w:cs="Times New Roman"/>
              </w:rPr>
            </w:pPr>
          </w:p>
          <w:p w14:paraId="01C93700">
            <w:pPr>
              <w:spacing w:line="277" w:lineRule="auto"/>
              <w:rPr>
                <w:rFonts w:hint="default" w:ascii="Times New Roman" w:hAnsi="Times New Roman" w:eastAsia="仿宋_GB2312" w:cs="Times New Roman"/>
              </w:rPr>
            </w:pPr>
          </w:p>
          <w:p w14:paraId="12C0D067">
            <w:pPr>
              <w:spacing w:line="277" w:lineRule="auto"/>
              <w:rPr>
                <w:rFonts w:hint="default" w:ascii="Times New Roman" w:hAnsi="Times New Roman" w:eastAsia="仿宋_GB2312" w:cs="Times New Roman"/>
              </w:rPr>
            </w:pPr>
          </w:p>
          <w:p w14:paraId="353B1435">
            <w:pPr>
              <w:spacing w:before="61" w:line="184" w:lineRule="auto"/>
              <w:ind w:left="164"/>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rPr>
              <w:t>8</w:t>
            </w:r>
          </w:p>
        </w:tc>
        <w:tc>
          <w:tcPr>
            <w:tcW w:w="1277" w:type="dxa"/>
            <w:vMerge w:val="restart"/>
            <w:tcBorders>
              <w:bottom w:val="nil"/>
            </w:tcBorders>
          </w:tcPr>
          <w:p w14:paraId="0B50CA34">
            <w:pPr>
              <w:spacing w:line="264" w:lineRule="auto"/>
              <w:rPr>
                <w:rFonts w:hint="default" w:ascii="Times New Roman" w:hAnsi="Times New Roman" w:eastAsia="仿宋_GB2312" w:cs="Times New Roman"/>
              </w:rPr>
            </w:pPr>
          </w:p>
          <w:p w14:paraId="12EACEFC">
            <w:pPr>
              <w:spacing w:line="265" w:lineRule="auto"/>
              <w:rPr>
                <w:rFonts w:hint="default" w:ascii="Times New Roman" w:hAnsi="Times New Roman" w:eastAsia="仿宋_GB2312" w:cs="Times New Roman"/>
              </w:rPr>
            </w:pPr>
          </w:p>
          <w:p w14:paraId="1966A211">
            <w:pPr>
              <w:spacing w:line="265" w:lineRule="auto"/>
              <w:rPr>
                <w:rFonts w:hint="default" w:ascii="Times New Roman" w:hAnsi="Times New Roman" w:eastAsia="仿宋_GB2312" w:cs="Times New Roman"/>
              </w:rPr>
            </w:pPr>
          </w:p>
          <w:p w14:paraId="536A4CC3">
            <w:pPr>
              <w:spacing w:before="61" w:line="226" w:lineRule="auto"/>
              <w:ind w:left="350"/>
              <w:rPr>
                <w:rFonts w:hint="default" w:ascii="Times New Roman" w:hAnsi="Times New Roman" w:eastAsia="仿宋_GB2312" w:cs="Times New Roman"/>
                <w:sz w:val="19"/>
                <w:szCs w:val="19"/>
              </w:rPr>
            </w:pPr>
            <w:r>
              <w:rPr>
                <w:rFonts w:hint="default" w:ascii="Times New Roman" w:hAnsi="Times New Roman" w:eastAsia="仿宋_GB2312" w:cs="Times New Roman"/>
                <w:spacing w:val="6"/>
                <w:sz w:val="19"/>
                <w:szCs w:val="19"/>
              </w:rPr>
              <w:t>步</w:t>
            </w:r>
            <w:r>
              <w:rPr>
                <w:rFonts w:hint="default" w:ascii="Times New Roman" w:hAnsi="Times New Roman" w:eastAsia="仿宋_GB2312" w:cs="Times New Roman"/>
                <w:spacing w:val="4"/>
                <w:sz w:val="19"/>
                <w:szCs w:val="19"/>
              </w:rPr>
              <w:t>行道</w:t>
            </w:r>
          </w:p>
        </w:tc>
        <w:tc>
          <w:tcPr>
            <w:tcW w:w="2152" w:type="dxa"/>
          </w:tcPr>
          <w:p w14:paraId="5646C808">
            <w:pPr>
              <w:spacing w:before="140" w:line="226" w:lineRule="auto"/>
              <w:ind w:left="123"/>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不达标的步行道长</w:t>
            </w:r>
            <w:r>
              <w:rPr>
                <w:rFonts w:hint="default" w:ascii="Times New Roman" w:hAnsi="Times New Roman" w:eastAsia="仿宋_GB2312" w:cs="Times New Roman"/>
                <w:spacing w:val="7"/>
                <w:sz w:val="19"/>
                <w:szCs w:val="19"/>
              </w:rPr>
              <w:t>度</w:t>
            </w:r>
          </w:p>
        </w:tc>
        <w:tc>
          <w:tcPr>
            <w:tcW w:w="4371" w:type="dxa"/>
            <w:gridSpan w:val="2"/>
          </w:tcPr>
          <w:p w14:paraId="3E960134">
            <w:pPr>
              <w:spacing w:before="126" w:line="223" w:lineRule="auto"/>
              <w:ind w:left="1678"/>
              <w:rPr>
                <w:rFonts w:hint="default" w:ascii="Times New Roman" w:hAnsi="Times New Roman" w:eastAsia="仿宋_GB2312" w:cs="Times New Roman"/>
                <w:sz w:val="19"/>
                <w:szCs w:val="19"/>
              </w:rPr>
            </w:pPr>
            <w:r>
              <w:rPr>
                <w:rFonts w:hint="default" w:ascii="Times New Roman" w:hAnsi="Times New Roman" w:eastAsia="仿宋_GB2312" w:cs="Times New Roman"/>
                <w:spacing w:val="9"/>
                <w:sz w:val="19"/>
                <w:szCs w:val="19"/>
              </w:rPr>
              <w:t>_</w:t>
            </w:r>
            <w:r>
              <w:rPr>
                <w:rFonts w:hint="default" w:ascii="Times New Roman" w:hAnsi="Times New Roman" w:eastAsia="仿宋_GB2312" w:cs="Times New Roman"/>
                <w:spacing w:val="6"/>
                <w:sz w:val="19"/>
                <w:szCs w:val="19"/>
              </w:rPr>
              <w:t>_____千米</w:t>
            </w:r>
          </w:p>
        </w:tc>
      </w:tr>
      <w:tr w14:paraId="78E3E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7" w:hRule="atLeast"/>
          <w:jc w:val="center"/>
        </w:trPr>
        <w:tc>
          <w:tcPr>
            <w:tcW w:w="538" w:type="dxa"/>
            <w:vMerge w:val="continue"/>
          </w:tcPr>
          <w:p w14:paraId="0823F21B">
            <w:pPr>
              <w:rPr>
                <w:rFonts w:hint="default" w:ascii="Times New Roman" w:hAnsi="Times New Roman" w:eastAsia="仿宋_GB2312" w:cs="Times New Roman"/>
              </w:rPr>
            </w:pPr>
          </w:p>
        </w:tc>
        <w:tc>
          <w:tcPr>
            <w:tcW w:w="1134" w:type="dxa"/>
            <w:vMerge w:val="continue"/>
            <w:tcBorders>
              <w:top w:val="nil"/>
              <w:bottom w:val="nil"/>
            </w:tcBorders>
          </w:tcPr>
          <w:p w14:paraId="4F693E35">
            <w:pPr>
              <w:rPr>
                <w:rFonts w:hint="default" w:ascii="Times New Roman" w:hAnsi="Times New Roman" w:eastAsia="仿宋_GB2312" w:cs="Times New Roman"/>
              </w:rPr>
            </w:pPr>
          </w:p>
        </w:tc>
        <w:tc>
          <w:tcPr>
            <w:tcW w:w="424" w:type="dxa"/>
            <w:vMerge w:val="continue"/>
            <w:tcBorders>
              <w:top w:val="nil"/>
            </w:tcBorders>
          </w:tcPr>
          <w:p w14:paraId="70E0E530">
            <w:pPr>
              <w:rPr>
                <w:rFonts w:hint="default" w:ascii="Times New Roman" w:hAnsi="Times New Roman" w:eastAsia="仿宋_GB2312" w:cs="Times New Roman"/>
              </w:rPr>
            </w:pPr>
          </w:p>
        </w:tc>
        <w:tc>
          <w:tcPr>
            <w:tcW w:w="1277" w:type="dxa"/>
            <w:vMerge w:val="continue"/>
            <w:tcBorders>
              <w:top w:val="nil"/>
            </w:tcBorders>
          </w:tcPr>
          <w:p w14:paraId="0AB0EA6F">
            <w:pPr>
              <w:rPr>
                <w:rFonts w:hint="default" w:ascii="Times New Roman" w:hAnsi="Times New Roman" w:eastAsia="仿宋_GB2312" w:cs="Times New Roman"/>
              </w:rPr>
            </w:pPr>
          </w:p>
        </w:tc>
        <w:tc>
          <w:tcPr>
            <w:tcW w:w="2152" w:type="dxa"/>
          </w:tcPr>
          <w:p w14:paraId="6D762542">
            <w:pPr>
              <w:spacing w:line="282" w:lineRule="auto"/>
              <w:rPr>
                <w:rFonts w:hint="default" w:ascii="Times New Roman" w:hAnsi="Times New Roman" w:eastAsia="仿宋_GB2312" w:cs="Times New Roman"/>
              </w:rPr>
            </w:pPr>
          </w:p>
          <w:p w14:paraId="5A3AE84F">
            <w:pPr>
              <w:spacing w:line="283" w:lineRule="auto"/>
              <w:rPr>
                <w:rFonts w:hint="default" w:ascii="Times New Roman" w:hAnsi="Times New Roman" w:eastAsia="仿宋_GB2312" w:cs="Times New Roman"/>
              </w:rPr>
            </w:pPr>
          </w:p>
          <w:p w14:paraId="7685F02A">
            <w:pPr>
              <w:spacing w:before="62" w:line="224" w:lineRule="auto"/>
              <w:ind w:left="121"/>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存</w:t>
            </w:r>
            <w:r>
              <w:rPr>
                <w:rFonts w:hint="default" w:ascii="Times New Roman" w:hAnsi="Times New Roman" w:eastAsia="仿宋_GB2312" w:cs="Times New Roman"/>
                <w:spacing w:val="7"/>
                <w:sz w:val="19"/>
                <w:szCs w:val="19"/>
              </w:rPr>
              <w:t>在哪些问题</w:t>
            </w:r>
          </w:p>
        </w:tc>
        <w:tc>
          <w:tcPr>
            <w:tcW w:w="4371" w:type="dxa"/>
            <w:gridSpan w:val="2"/>
          </w:tcPr>
          <w:p w14:paraId="785004F2">
            <w:pPr>
              <w:spacing w:before="54" w:line="228" w:lineRule="auto"/>
              <w:ind w:left="132"/>
              <w:rPr>
                <w:rFonts w:hint="default" w:ascii="Times New Roman" w:hAnsi="Times New Roman" w:eastAsia="仿宋_GB2312" w:cs="Times New Roman"/>
                <w:sz w:val="19"/>
                <w:szCs w:val="19"/>
              </w:rPr>
            </w:pPr>
            <w:r>
              <w:rPr>
                <w:rFonts w:hint="default" w:ascii="Times New Roman" w:hAnsi="Times New Roman" w:eastAsia="仿宋_GB2312" w:cs="Times New Roman"/>
                <w:spacing w:val="7"/>
                <w:sz w:val="19"/>
                <w:szCs w:val="19"/>
              </w:rPr>
              <w:t>□路面破损     □宽度不足     □雨后积</w:t>
            </w:r>
            <w:r>
              <w:rPr>
                <w:rFonts w:hint="default" w:ascii="Times New Roman" w:hAnsi="Times New Roman" w:eastAsia="仿宋_GB2312" w:cs="Times New Roman"/>
                <w:spacing w:val="2"/>
                <w:sz w:val="19"/>
                <w:szCs w:val="19"/>
              </w:rPr>
              <w:t>水</w:t>
            </w:r>
          </w:p>
          <w:p w14:paraId="082FF03B">
            <w:pPr>
              <w:spacing w:before="46" w:line="227" w:lineRule="auto"/>
              <w:ind w:left="132"/>
              <w:rPr>
                <w:rFonts w:hint="default" w:ascii="Times New Roman" w:hAnsi="Times New Roman" w:eastAsia="仿宋_GB2312" w:cs="Times New Roman"/>
                <w:sz w:val="19"/>
                <w:szCs w:val="19"/>
              </w:rPr>
            </w:pPr>
            <w:r>
              <w:rPr>
                <w:rFonts w:hint="default" w:ascii="Times New Roman" w:hAnsi="Times New Roman" w:eastAsia="仿宋_GB2312" w:cs="Times New Roman"/>
                <w:spacing w:val="14"/>
                <w:sz w:val="19"/>
                <w:szCs w:val="19"/>
              </w:rPr>
              <w:t>□</w:t>
            </w:r>
            <w:r>
              <w:rPr>
                <w:rFonts w:hint="default" w:ascii="Times New Roman" w:hAnsi="Times New Roman" w:eastAsia="仿宋_GB2312" w:cs="Times New Roman"/>
                <w:spacing w:val="8"/>
                <w:sz w:val="19"/>
                <w:szCs w:val="19"/>
              </w:rPr>
              <w:t>夜</w:t>
            </w:r>
            <w:r>
              <w:rPr>
                <w:rFonts w:hint="default" w:ascii="Times New Roman" w:hAnsi="Times New Roman" w:eastAsia="仿宋_GB2312" w:cs="Times New Roman"/>
                <w:spacing w:val="7"/>
                <w:sz w:val="19"/>
                <w:szCs w:val="19"/>
              </w:rPr>
              <w:t>间照明不足 □铺装不防滑</w:t>
            </w:r>
          </w:p>
          <w:p w14:paraId="2E3FF67C">
            <w:pPr>
              <w:spacing w:before="45" w:line="226" w:lineRule="auto"/>
              <w:ind w:left="132"/>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□不能联贯住宅和各类服务设</w:t>
            </w:r>
            <w:r>
              <w:rPr>
                <w:rFonts w:hint="default" w:ascii="Times New Roman" w:hAnsi="Times New Roman" w:eastAsia="仿宋_GB2312" w:cs="Times New Roman"/>
                <w:spacing w:val="7"/>
                <w:sz w:val="19"/>
                <w:szCs w:val="19"/>
              </w:rPr>
              <w:t>施</w:t>
            </w:r>
          </w:p>
          <w:p w14:paraId="1BD65DEC">
            <w:pPr>
              <w:spacing w:before="47" w:line="226" w:lineRule="auto"/>
              <w:ind w:left="132"/>
              <w:rPr>
                <w:rFonts w:hint="default" w:ascii="Times New Roman" w:hAnsi="Times New Roman" w:eastAsia="仿宋_GB2312" w:cs="Times New Roman"/>
                <w:sz w:val="19"/>
                <w:szCs w:val="19"/>
              </w:rPr>
            </w:pPr>
            <w:r>
              <w:rPr>
                <w:rFonts w:hint="default" w:ascii="Times New Roman" w:hAnsi="Times New Roman" w:eastAsia="仿宋_GB2312" w:cs="Times New Roman"/>
                <w:spacing w:val="12"/>
                <w:sz w:val="19"/>
                <w:szCs w:val="19"/>
              </w:rPr>
              <w:t>□</w:t>
            </w:r>
            <w:r>
              <w:rPr>
                <w:rFonts w:hint="default" w:ascii="Times New Roman" w:hAnsi="Times New Roman" w:eastAsia="仿宋_GB2312" w:cs="Times New Roman"/>
                <w:spacing w:val="7"/>
                <w:sz w:val="19"/>
                <w:szCs w:val="19"/>
              </w:rPr>
              <w:t>不符合无障碍设计要求</w:t>
            </w:r>
          </w:p>
          <w:p w14:paraId="33D4419E">
            <w:pPr>
              <w:spacing w:before="50" w:line="223" w:lineRule="auto"/>
              <w:ind w:left="132"/>
              <w:rPr>
                <w:rFonts w:hint="default" w:ascii="Times New Roman" w:hAnsi="Times New Roman" w:eastAsia="仿宋_GB2312" w:cs="Times New Roman"/>
                <w:sz w:val="19"/>
                <w:szCs w:val="19"/>
              </w:rPr>
            </w:pPr>
            <w:r>
              <w:rPr>
                <w:rFonts w:hint="default" w:ascii="Times New Roman" w:hAnsi="Times New Roman" w:eastAsia="仿宋_GB2312" w:cs="Times New Roman"/>
                <w:spacing w:val="-1"/>
                <w:sz w:val="19"/>
                <w:szCs w:val="19"/>
              </w:rPr>
              <w:t>□其</w:t>
            </w:r>
            <w:r>
              <w:rPr>
                <w:rFonts w:hint="default" w:ascii="Times New Roman" w:hAnsi="Times New Roman" w:eastAsia="仿宋_GB2312" w:cs="Times New Roman"/>
                <w:sz w:val="19"/>
                <w:szCs w:val="19"/>
              </w:rPr>
              <w:t>他问题： ____________</w:t>
            </w:r>
          </w:p>
        </w:tc>
      </w:tr>
      <w:tr w14:paraId="6E4D8E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jc w:val="center"/>
        </w:trPr>
        <w:tc>
          <w:tcPr>
            <w:tcW w:w="538" w:type="dxa"/>
            <w:vMerge w:val="continue"/>
          </w:tcPr>
          <w:p w14:paraId="219B2437">
            <w:pPr>
              <w:rPr>
                <w:rFonts w:hint="default" w:ascii="Times New Roman" w:hAnsi="Times New Roman" w:eastAsia="仿宋_GB2312" w:cs="Times New Roman"/>
              </w:rPr>
            </w:pPr>
          </w:p>
        </w:tc>
        <w:tc>
          <w:tcPr>
            <w:tcW w:w="1134" w:type="dxa"/>
            <w:vMerge w:val="continue"/>
            <w:tcBorders>
              <w:top w:val="nil"/>
              <w:bottom w:val="nil"/>
            </w:tcBorders>
          </w:tcPr>
          <w:p w14:paraId="220CBE4A">
            <w:pPr>
              <w:rPr>
                <w:rFonts w:hint="default" w:ascii="Times New Roman" w:hAnsi="Times New Roman" w:eastAsia="仿宋_GB2312" w:cs="Times New Roman"/>
              </w:rPr>
            </w:pPr>
          </w:p>
        </w:tc>
        <w:tc>
          <w:tcPr>
            <w:tcW w:w="424" w:type="dxa"/>
            <w:vMerge w:val="restart"/>
            <w:tcBorders>
              <w:bottom w:val="nil"/>
            </w:tcBorders>
          </w:tcPr>
          <w:p w14:paraId="05289687">
            <w:pPr>
              <w:spacing w:line="248" w:lineRule="auto"/>
              <w:rPr>
                <w:rFonts w:hint="default" w:ascii="Times New Roman" w:hAnsi="Times New Roman" w:eastAsia="仿宋_GB2312" w:cs="Times New Roman"/>
              </w:rPr>
            </w:pPr>
          </w:p>
          <w:p w14:paraId="7673DBFA">
            <w:pPr>
              <w:spacing w:line="248" w:lineRule="auto"/>
              <w:rPr>
                <w:rFonts w:hint="default" w:ascii="Times New Roman" w:hAnsi="Times New Roman" w:eastAsia="仿宋_GB2312" w:cs="Times New Roman"/>
              </w:rPr>
            </w:pPr>
          </w:p>
          <w:p w14:paraId="110AEEE1">
            <w:pPr>
              <w:spacing w:line="249" w:lineRule="auto"/>
              <w:rPr>
                <w:rFonts w:hint="default" w:ascii="Times New Roman" w:hAnsi="Times New Roman" w:eastAsia="仿宋_GB2312" w:cs="Times New Roman"/>
              </w:rPr>
            </w:pPr>
          </w:p>
          <w:p w14:paraId="2D89FF61">
            <w:pPr>
              <w:spacing w:before="62" w:line="184" w:lineRule="auto"/>
              <w:ind w:left="164"/>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rPr>
              <w:t>9</w:t>
            </w:r>
          </w:p>
        </w:tc>
        <w:tc>
          <w:tcPr>
            <w:tcW w:w="1277" w:type="dxa"/>
            <w:vMerge w:val="restart"/>
            <w:tcBorders>
              <w:bottom w:val="nil"/>
            </w:tcBorders>
          </w:tcPr>
          <w:p w14:paraId="617809DF">
            <w:pPr>
              <w:spacing w:line="354" w:lineRule="auto"/>
              <w:rPr>
                <w:rFonts w:hint="default" w:ascii="Times New Roman" w:hAnsi="Times New Roman" w:eastAsia="仿宋_GB2312" w:cs="Times New Roman"/>
              </w:rPr>
            </w:pPr>
          </w:p>
          <w:p w14:paraId="038AA28A">
            <w:pPr>
              <w:spacing w:line="355" w:lineRule="auto"/>
              <w:rPr>
                <w:rFonts w:hint="default" w:ascii="Times New Roman" w:hAnsi="Times New Roman" w:eastAsia="仿宋_GB2312" w:cs="Times New Roman"/>
              </w:rPr>
            </w:pPr>
          </w:p>
          <w:p w14:paraId="46513B42">
            <w:pPr>
              <w:spacing w:before="62" w:line="228" w:lineRule="auto"/>
              <w:ind w:left="249"/>
              <w:rPr>
                <w:rFonts w:hint="default" w:ascii="Times New Roman" w:hAnsi="Times New Roman" w:eastAsia="仿宋_GB2312" w:cs="Times New Roman"/>
                <w:sz w:val="19"/>
                <w:szCs w:val="19"/>
              </w:rPr>
            </w:pPr>
            <w:r>
              <w:rPr>
                <w:rFonts w:hint="default" w:ascii="Times New Roman" w:hAnsi="Times New Roman" w:eastAsia="仿宋_GB2312" w:cs="Times New Roman"/>
                <w:spacing w:val="6"/>
                <w:sz w:val="19"/>
                <w:szCs w:val="19"/>
              </w:rPr>
              <w:t>垃圾分类</w:t>
            </w:r>
          </w:p>
        </w:tc>
        <w:tc>
          <w:tcPr>
            <w:tcW w:w="2152" w:type="dxa"/>
          </w:tcPr>
          <w:p w14:paraId="292B70D7">
            <w:pPr>
              <w:spacing w:before="55" w:line="247" w:lineRule="auto"/>
              <w:ind w:left="130" w:right="242" w:hanging="10"/>
              <w:rPr>
                <w:rFonts w:hint="default" w:ascii="Times New Roman" w:hAnsi="Times New Roman" w:eastAsia="仿宋_GB2312" w:cs="Times New Roman"/>
                <w:sz w:val="19"/>
                <w:szCs w:val="19"/>
              </w:rPr>
            </w:pPr>
            <w:r>
              <w:rPr>
                <w:rFonts w:hint="default" w:ascii="Times New Roman" w:hAnsi="Times New Roman" w:eastAsia="仿宋_GB2312" w:cs="Times New Roman"/>
                <w:spacing w:val="10"/>
                <w:sz w:val="19"/>
                <w:szCs w:val="19"/>
              </w:rPr>
              <w:t>未</w:t>
            </w:r>
            <w:r>
              <w:rPr>
                <w:rFonts w:hint="default" w:ascii="Times New Roman" w:hAnsi="Times New Roman" w:eastAsia="仿宋_GB2312" w:cs="Times New Roman"/>
                <w:spacing w:val="8"/>
                <w:sz w:val="19"/>
                <w:szCs w:val="19"/>
              </w:rPr>
              <w:t>实施生活垃圾分类</w:t>
            </w:r>
            <w:r>
              <w:rPr>
                <w:rFonts w:hint="default" w:ascii="Times New Roman" w:hAnsi="Times New Roman" w:eastAsia="仿宋_GB2312" w:cs="Times New Roman"/>
                <w:sz w:val="19"/>
                <w:szCs w:val="19"/>
              </w:rPr>
              <w:t xml:space="preserve"> </w:t>
            </w:r>
            <w:r>
              <w:rPr>
                <w:rFonts w:hint="default" w:ascii="Times New Roman" w:hAnsi="Times New Roman" w:eastAsia="仿宋_GB2312" w:cs="Times New Roman"/>
                <w:spacing w:val="5"/>
                <w:sz w:val="19"/>
                <w:szCs w:val="19"/>
              </w:rPr>
              <w:t>的小区数量</w:t>
            </w:r>
          </w:p>
        </w:tc>
        <w:tc>
          <w:tcPr>
            <w:tcW w:w="4371" w:type="dxa"/>
            <w:gridSpan w:val="2"/>
          </w:tcPr>
          <w:p w14:paraId="2796AE11">
            <w:pPr>
              <w:spacing w:before="182" w:line="223" w:lineRule="auto"/>
              <w:ind w:left="1779"/>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_</w:t>
            </w:r>
            <w:r>
              <w:rPr>
                <w:rFonts w:hint="default" w:ascii="Times New Roman" w:hAnsi="Times New Roman" w:eastAsia="仿宋_GB2312" w:cs="Times New Roman"/>
                <w:spacing w:val="6"/>
                <w:sz w:val="19"/>
                <w:szCs w:val="19"/>
              </w:rPr>
              <w:t>_____个</w:t>
            </w:r>
          </w:p>
        </w:tc>
      </w:tr>
      <w:tr w14:paraId="7AE2F7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7" w:hRule="atLeast"/>
          <w:jc w:val="center"/>
        </w:trPr>
        <w:tc>
          <w:tcPr>
            <w:tcW w:w="538" w:type="dxa"/>
            <w:vMerge w:val="continue"/>
          </w:tcPr>
          <w:p w14:paraId="034B1DBD">
            <w:pPr>
              <w:rPr>
                <w:rFonts w:hint="default" w:ascii="Times New Roman" w:hAnsi="Times New Roman" w:eastAsia="仿宋_GB2312" w:cs="Times New Roman"/>
              </w:rPr>
            </w:pPr>
          </w:p>
        </w:tc>
        <w:tc>
          <w:tcPr>
            <w:tcW w:w="1134" w:type="dxa"/>
            <w:vMerge w:val="continue"/>
            <w:tcBorders>
              <w:top w:val="nil"/>
            </w:tcBorders>
          </w:tcPr>
          <w:p w14:paraId="09E92FB3">
            <w:pPr>
              <w:rPr>
                <w:rFonts w:hint="default" w:ascii="Times New Roman" w:hAnsi="Times New Roman" w:eastAsia="仿宋_GB2312" w:cs="Times New Roman"/>
              </w:rPr>
            </w:pPr>
          </w:p>
        </w:tc>
        <w:tc>
          <w:tcPr>
            <w:tcW w:w="424" w:type="dxa"/>
            <w:vMerge w:val="continue"/>
            <w:tcBorders>
              <w:top w:val="nil"/>
            </w:tcBorders>
          </w:tcPr>
          <w:p w14:paraId="2128BC95">
            <w:pPr>
              <w:rPr>
                <w:rFonts w:hint="default" w:ascii="Times New Roman" w:hAnsi="Times New Roman" w:eastAsia="仿宋_GB2312" w:cs="Times New Roman"/>
              </w:rPr>
            </w:pPr>
          </w:p>
        </w:tc>
        <w:tc>
          <w:tcPr>
            <w:tcW w:w="1277" w:type="dxa"/>
            <w:vMerge w:val="continue"/>
            <w:tcBorders>
              <w:top w:val="nil"/>
            </w:tcBorders>
          </w:tcPr>
          <w:p w14:paraId="747AE615">
            <w:pPr>
              <w:rPr>
                <w:rFonts w:hint="default" w:ascii="Times New Roman" w:hAnsi="Times New Roman" w:eastAsia="仿宋_GB2312" w:cs="Times New Roman"/>
              </w:rPr>
            </w:pPr>
          </w:p>
        </w:tc>
        <w:tc>
          <w:tcPr>
            <w:tcW w:w="2152" w:type="dxa"/>
          </w:tcPr>
          <w:p w14:paraId="55465BDC">
            <w:pPr>
              <w:spacing w:line="428" w:lineRule="auto"/>
              <w:rPr>
                <w:rFonts w:hint="default" w:ascii="Times New Roman" w:hAnsi="Times New Roman" w:eastAsia="仿宋_GB2312" w:cs="Times New Roman"/>
              </w:rPr>
            </w:pPr>
          </w:p>
          <w:p w14:paraId="649D6FA2">
            <w:pPr>
              <w:spacing w:before="61" w:line="224" w:lineRule="auto"/>
              <w:ind w:left="121"/>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存</w:t>
            </w:r>
            <w:r>
              <w:rPr>
                <w:rFonts w:hint="default" w:ascii="Times New Roman" w:hAnsi="Times New Roman" w:eastAsia="仿宋_GB2312" w:cs="Times New Roman"/>
                <w:spacing w:val="7"/>
                <w:sz w:val="19"/>
                <w:szCs w:val="19"/>
              </w:rPr>
              <w:t>在哪些问题</w:t>
            </w:r>
          </w:p>
        </w:tc>
        <w:tc>
          <w:tcPr>
            <w:tcW w:w="4371" w:type="dxa"/>
            <w:gridSpan w:val="2"/>
          </w:tcPr>
          <w:p w14:paraId="5D78641A">
            <w:pPr>
              <w:spacing w:before="54" w:line="226" w:lineRule="auto"/>
              <w:ind w:left="132"/>
              <w:rPr>
                <w:rFonts w:hint="default" w:ascii="Times New Roman" w:hAnsi="Times New Roman" w:eastAsia="仿宋_GB2312" w:cs="Times New Roman"/>
                <w:sz w:val="19"/>
                <w:szCs w:val="19"/>
              </w:rPr>
            </w:pPr>
            <w:r>
              <w:rPr>
                <w:rFonts w:hint="default" w:ascii="Times New Roman" w:hAnsi="Times New Roman" w:eastAsia="仿宋_GB2312" w:cs="Times New Roman"/>
                <w:spacing w:val="12"/>
                <w:sz w:val="19"/>
                <w:szCs w:val="19"/>
              </w:rPr>
              <w:t>□</w:t>
            </w:r>
            <w:r>
              <w:rPr>
                <w:rFonts w:hint="default" w:ascii="Times New Roman" w:hAnsi="Times New Roman" w:eastAsia="仿宋_GB2312" w:cs="Times New Roman"/>
                <w:spacing w:val="7"/>
                <w:sz w:val="19"/>
                <w:szCs w:val="19"/>
              </w:rPr>
              <w:t>没有实行垃圾分类制度</w:t>
            </w:r>
          </w:p>
          <w:p w14:paraId="4473C628">
            <w:pPr>
              <w:spacing w:before="49" w:line="251" w:lineRule="auto"/>
              <w:ind w:left="119" w:right="262" w:firstLine="12"/>
              <w:rPr>
                <w:rFonts w:hint="default" w:ascii="Times New Roman" w:hAnsi="Times New Roman" w:eastAsia="仿宋_GB2312" w:cs="Times New Roman"/>
                <w:sz w:val="19"/>
                <w:szCs w:val="19"/>
              </w:rPr>
            </w:pPr>
            <w:r>
              <w:rPr>
                <w:rFonts w:hint="default" w:ascii="Times New Roman" w:hAnsi="Times New Roman" w:eastAsia="仿宋_GB2312" w:cs="Times New Roman"/>
                <w:spacing w:val="16"/>
                <w:sz w:val="19"/>
                <w:szCs w:val="19"/>
              </w:rPr>
              <w:t>□</w:t>
            </w:r>
            <w:r>
              <w:rPr>
                <w:rFonts w:hint="default" w:ascii="Times New Roman" w:hAnsi="Times New Roman" w:eastAsia="仿宋_GB2312" w:cs="Times New Roman"/>
                <w:spacing w:val="11"/>
                <w:sz w:val="19"/>
                <w:szCs w:val="19"/>
              </w:rPr>
              <w:t>未</w:t>
            </w:r>
            <w:r>
              <w:rPr>
                <w:rFonts w:hint="default" w:ascii="Times New Roman" w:hAnsi="Times New Roman" w:eastAsia="仿宋_GB2312" w:cs="Times New Roman"/>
                <w:spacing w:val="8"/>
                <w:sz w:val="19"/>
                <w:szCs w:val="19"/>
              </w:rPr>
              <w:t>建立分类投放、分类收集、分类运输、分</w:t>
            </w:r>
            <w:r>
              <w:rPr>
                <w:rFonts w:hint="default" w:ascii="Times New Roman" w:hAnsi="Times New Roman" w:eastAsia="仿宋_GB2312" w:cs="Times New Roman"/>
                <w:sz w:val="19"/>
                <w:szCs w:val="19"/>
              </w:rPr>
              <w:t xml:space="preserve"> </w:t>
            </w:r>
            <w:r>
              <w:rPr>
                <w:rFonts w:hint="default" w:ascii="Times New Roman" w:hAnsi="Times New Roman" w:eastAsia="仿宋_GB2312" w:cs="Times New Roman"/>
                <w:spacing w:val="7"/>
                <w:sz w:val="19"/>
                <w:szCs w:val="19"/>
              </w:rPr>
              <w:t>类处理系</w:t>
            </w:r>
            <w:r>
              <w:rPr>
                <w:rFonts w:hint="default" w:ascii="Times New Roman" w:hAnsi="Times New Roman" w:eastAsia="仿宋_GB2312" w:cs="Times New Roman"/>
                <w:spacing w:val="6"/>
                <w:sz w:val="19"/>
                <w:szCs w:val="19"/>
              </w:rPr>
              <w:t>统</w:t>
            </w:r>
          </w:p>
          <w:p w14:paraId="67F0F8F5">
            <w:pPr>
              <w:spacing w:before="44" w:line="223" w:lineRule="auto"/>
              <w:ind w:left="132"/>
              <w:rPr>
                <w:rFonts w:hint="default" w:ascii="Times New Roman" w:hAnsi="Times New Roman" w:eastAsia="仿宋_GB2312" w:cs="Times New Roman"/>
                <w:sz w:val="19"/>
                <w:szCs w:val="19"/>
              </w:rPr>
            </w:pPr>
            <w:r>
              <w:rPr>
                <w:rFonts w:hint="default" w:ascii="Times New Roman" w:hAnsi="Times New Roman" w:eastAsia="仿宋_GB2312" w:cs="Times New Roman"/>
                <w:spacing w:val="-1"/>
                <w:sz w:val="19"/>
                <w:szCs w:val="19"/>
              </w:rPr>
              <w:t>□其</w:t>
            </w:r>
            <w:r>
              <w:rPr>
                <w:rFonts w:hint="default" w:ascii="Times New Roman" w:hAnsi="Times New Roman" w:eastAsia="仿宋_GB2312" w:cs="Times New Roman"/>
                <w:sz w:val="19"/>
                <w:szCs w:val="19"/>
              </w:rPr>
              <w:t>他问题： ____________</w:t>
            </w:r>
          </w:p>
        </w:tc>
      </w:tr>
      <w:tr w14:paraId="3FE229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98" w:hRule="atLeast"/>
          <w:jc w:val="center"/>
        </w:trPr>
        <w:tc>
          <w:tcPr>
            <w:tcW w:w="538" w:type="dxa"/>
            <w:vMerge w:val="continue"/>
          </w:tcPr>
          <w:p w14:paraId="59699354">
            <w:pPr>
              <w:rPr>
                <w:rFonts w:hint="default" w:ascii="Times New Roman" w:hAnsi="Times New Roman" w:eastAsia="仿宋_GB2312" w:cs="Times New Roman"/>
              </w:rPr>
            </w:pPr>
          </w:p>
        </w:tc>
        <w:tc>
          <w:tcPr>
            <w:tcW w:w="1134" w:type="dxa"/>
            <w:vMerge w:val="restart"/>
            <w:tcBorders>
              <w:bottom w:val="nil"/>
            </w:tcBorders>
          </w:tcPr>
          <w:p w14:paraId="7952F5CE">
            <w:pPr>
              <w:spacing w:line="243" w:lineRule="auto"/>
              <w:rPr>
                <w:rFonts w:hint="default" w:ascii="Times New Roman" w:hAnsi="Times New Roman" w:eastAsia="仿宋_GB2312" w:cs="Times New Roman"/>
              </w:rPr>
            </w:pPr>
          </w:p>
          <w:p w14:paraId="6C7B7122">
            <w:pPr>
              <w:spacing w:line="243" w:lineRule="auto"/>
              <w:rPr>
                <w:rFonts w:hint="default" w:ascii="Times New Roman" w:hAnsi="Times New Roman" w:eastAsia="仿宋_GB2312" w:cs="Times New Roman"/>
              </w:rPr>
            </w:pPr>
          </w:p>
          <w:p w14:paraId="7E092E74">
            <w:pPr>
              <w:spacing w:line="243" w:lineRule="auto"/>
              <w:rPr>
                <w:rFonts w:hint="default" w:ascii="Times New Roman" w:hAnsi="Times New Roman" w:eastAsia="仿宋_GB2312" w:cs="Times New Roman"/>
              </w:rPr>
            </w:pPr>
          </w:p>
          <w:p w14:paraId="14F7DC4B">
            <w:pPr>
              <w:spacing w:line="244" w:lineRule="auto"/>
              <w:rPr>
                <w:rFonts w:hint="default" w:ascii="Times New Roman" w:hAnsi="Times New Roman" w:eastAsia="仿宋_GB2312" w:cs="Times New Roman"/>
              </w:rPr>
            </w:pPr>
          </w:p>
          <w:p w14:paraId="79AC05A4">
            <w:pPr>
              <w:spacing w:line="244" w:lineRule="auto"/>
              <w:rPr>
                <w:rFonts w:hint="default" w:ascii="Times New Roman" w:hAnsi="Times New Roman" w:eastAsia="仿宋_GB2312" w:cs="Times New Roman"/>
              </w:rPr>
            </w:pPr>
          </w:p>
          <w:p w14:paraId="25220E2F">
            <w:pPr>
              <w:spacing w:line="244" w:lineRule="auto"/>
              <w:rPr>
                <w:rFonts w:hint="default" w:ascii="Times New Roman" w:hAnsi="Times New Roman" w:eastAsia="仿宋_GB2312" w:cs="Times New Roman"/>
              </w:rPr>
            </w:pPr>
          </w:p>
          <w:p w14:paraId="7A378B61">
            <w:pPr>
              <w:spacing w:line="244" w:lineRule="auto"/>
              <w:rPr>
                <w:rFonts w:hint="default" w:ascii="Times New Roman" w:hAnsi="Times New Roman" w:eastAsia="仿宋_GB2312" w:cs="Times New Roman"/>
              </w:rPr>
            </w:pPr>
          </w:p>
          <w:p w14:paraId="2A91D06F">
            <w:pPr>
              <w:spacing w:before="62" w:line="228" w:lineRule="auto"/>
              <w:ind w:left="187"/>
              <w:rPr>
                <w:rFonts w:hint="default" w:ascii="Times New Roman" w:hAnsi="Times New Roman" w:eastAsia="仿宋_GB2312" w:cs="Times New Roman"/>
                <w:sz w:val="19"/>
                <w:szCs w:val="19"/>
              </w:rPr>
            </w:pPr>
            <w:r>
              <w:rPr>
                <w:rFonts w:hint="default" w:ascii="Times New Roman" w:hAnsi="Times New Roman" w:eastAsia="仿宋_GB2312" w:cs="Times New Roman"/>
                <w:spacing w:val="5"/>
                <w:sz w:val="19"/>
                <w:szCs w:val="19"/>
              </w:rPr>
              <w:t>管</w:t>
            </w:r>
            <w:r>
              <w:rPr>
                <w:rFonts w:hint="default" w:ascii="Times New Roman" w:hAnsi="Times New Roman" w:eastAsia="仿宋_GB2312" w:cs="Times New Roman"/>
                <w:spacing w:val="3"/>
                <w:sz w:val="19"/>
                <w:szCs w:val="19"/>
              </w:rPr>
              <w:t>理健全</w:t>
            </w:r>
          </w:p>
        </w:tc>
        <w:tc>
          <w:tcPr>
            <w:tcW w:w="424" w:type="dxa"/>
          </w:tcPr>
          <w:p w14:paraId="142176CE">
            <w:pPr>
              <w:spacing w:line="293" w:lineRule="auto"/>
              <w:rPr>
                <w:rFonts w:hint="default" w:ascii="Times New Roman" w:hAnsi="Times New Roman" w:eastAsia="仿宋_GB2312" w:cs="Times New Roman"/>
              </w:rPr>
            </w:pPr>
          </w:p>
          <w:p w14:paraId="7674C22B">
            <w:pPr>
              <w:spacing w:line="293" w:lineRule="auto"/>
              <w:rPr>
                <w:rFonts w:hint="default" w:ascii="Times New Roman" w:hAnsi="Times New Roman" w:eastAsia="仿宋_GB2312" w:cs="Times New Roman"/>
              </w:rPr>
            </w:pPr>
          </w:p>
          <w:p w14:paraId="6AC75AE3">
            <w:pPr>
              <w:spacing w:line="294" w:lineRule="auto"/>
              <w:rPr>
                <w:rFonts w:hint="default" w:ascii="Times New Roman" w:hAnsi="Times New Roman" w:eastAsia="仿宋_GB2312" w:cs="Times New Roman"/>
              </w:rPr>
            </w:pPr>
          </w:p>
          <w:p w14:paraId="084B33BF">
            <w:pPr>
              <w:spacing w:before="62" w:line="185" w:lineRule="auto"/>
              <w:ind w:left="130"/>
              <w:rPr>
                <w:rFonts w:hint="default" w:ascii="Times New Roman" w:hAnsi="Times New Roman" w:eastAsia="仿宋_GB2312" w:cs="Times New Roman"/>
                <w:sz w:val="19"/>
                <w:szCs w:val="19"/>
              </w:rPr>
            </w:pPr>
            <w:r>
              <w:rPr>
                <w:rFonts w:hint="default" w:ascii="Times New Roman" w:hAnsi="Times New Roman" w:eastAsia="仿宋_GB2312" w:cs="Times New Roman"/>
                <w:spacing w:val="-7"/>
                <w:sz w:val="19"/>
                <w:szCs w:val="19"/>
              </w:rPr>
              <w:t>1</w:t>
            </w:r>
            <w:r>
              <w:rPr>
                <w:rFonts w:hint="default" w:ascii="Times New Roman" w:hAnsi="Times New Roman" w:eastAsia="仿宋_GB2312" w:cs="Times New Roman"/>
                <w:spacing w:val="-5"/>
                <w:sz w:val="19"/>
                <w:szCs w:val="19"/>
              </w:rPr>
              <w:t>0</w:t>
            </w:r>
          </w:p>
        </w:tc>
        <w:tc>
          <w:tcPr>
            <w:tcW w:w="1277" w:type="dxa"/>
          </w:tcPr>
          <w:p w14:paraId="133F8B44">
            <w:pPr>
              <w:spacing w:line="281" w:lineRule="auto"/>
              <w:rPr>
                <w:rFonts w:hint="default" w:ascii="Times New Roman" w:hAnsi="Times New Roman" w:eastAsia="仿宋_GB2312" w:cs="Times New Roman"/>
              </w:rPr>
            </w:pPr>
          </w:p>
          <w:p w14:paraId="751D4759">
            <w:pPr>
              <w:spacing w:line="281" w:lineRule="auto"/>
              <w:rPr>
                <w:rFonts w:hint="default" w:ascii="Times New Roman" w:hAnsi="Times New Roman" w:eastAsia="仿宋_GB2312" w:cs="Times New Roman"/>
              </w:rPr>
            </w:pPr>
          </w:p>
          <w:p w14:paraId="018D1DEF">
            <w:pPr>
              <w:spacing w:line="282" w:lineRule="auto"/>
              <w:rPr>
                <w:rFonts w:hint="default" w:ascii="Times New Roman" w:hAnsi="Times New Roman" w:eastAsia="仿宋_GB2312" w:cs="Times New Roman"/>
              </w:rPr>
            </w:pPr>
          </w:p>
          <w:p w14:paraId="6859E3D7">
            <w:pPr>
              <w:spacing w:before="62" w:line="226" w:lineRule="auto"/>
              <w:ind w:left="248"/>
              <w:rPr>
                <w:rFonts w:hint="default" w:ascii="Times New Roman" w:hAnsi="Times New Roman" w:eastAsia="仿宋_GB2312" w:cs="Times New Roman"/>
                <w:sz w:val="19"/>
                <w:szCs w:val="19"/>
              </w:rPr>
            </w:pPr>
            <w:r>
              <w:rPr>
                <w:rFonts w:hint="default" w:ascii="Times New Roman" w:hAnsi="Times New Roman" w:eastAsia="仿宋_GB2312" w:cs="Times New Roman"/>
                <w:spacing w:val="7"/>
                <w:sz w:val="19"/>
                <w:szCs w:val="19"/>
              </w:rPr>
              <w:t>物</w:t>
            </w:r>
            <w:r>
              <w:rPr>
                <w:rFonts w:hint="default" w:ascii="Times New Roman" w:hAnsi="Times New Roman" w:eastAsia="仿宋_GB2312" w:cs="Times New Roman"/>
                <w:spacing w:val="6"/>
                <w:sz w:val="19"/>
                <w:szCs w:val="19"/>
              </w:rPr>
              <w:t>业管理</w:t>
            </w:r>
          </w:p>
        </w:tc>
        <w:tc>
          <w:tcPr>
            <w:tcW w:w="2152" w:type="dxa"/>
          </w:tcPr>
          <w:p w14:paraId="4FB53493">
            <w:pPr>
              <w:spacing w:line="281" w:lineRule="auto"/>
              <w:rPr>
                <w:rFonts w:hint="default" w:ascii="Times New Roman" w:hAnsi="Times New Roman" w:eastAsia="仿宋_GB2312" w:cs="Times New Roman"/>
              </w:rPr>
            </w:pPr>
          </w:p>
          <w:p w14:paraId="09E10A09">
            <w:pPr>
              <w:spacing w:line="282" w:lineRule="auto"/>
              <w:rPr>
                <w:rFonts w:hint="default" w:ascii="Times New Roman" w:hAnsi="Times New Roman" w:eastAsia="仿宋_GB2312" w:cs="Times New Roman"/>
              </w:rPr>
            </w:pPr>
          </w:p>
          <w:p w14:paraId="034ACA7E">
            <w:pPr>
              <w:spacing w:line="282" w:lineRule="auto"/>
              <w:rPr>
                <w:rFonts w:hint="default" w:ascii="Times New Roman" w:hAnsi="Times New Roman" w:eastAsia="仿宋_GB2312" w:cs="Times New Roman"/>
              </w:rPr>
            </w:pPr>
          </w:p>
          <w:p w14:paraId="40C3F5E8">
            <w:pPr>
              <w:spacing w:before="61" w:line="224" w:lineRule="auto"/>
              <w:ind w:left="121"/>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存</w:t>
            </w:r>
            <w:r>
              <w:rPr>
                <w:rFonts w:hint="default" w:ascii="Times New Roman" w:hAnsi="Times New Roman" w:eastAsia="仿宋_GB2312" w:cs="Times New Roman"/>
                <w:spacing w:val="7"/>
                <w:sz w:val="19"/>
                <w:szCs w:val="19"/>
              </w:rPr>
              <w:t>在哪些问题</w:t>
            </w:r>
          </w:p>
        </w:tc>
        <w:tc>
          <w:tcPr>
            <w:tcW w:w="4371" w:type="dxa"/>
            <w:gridSpan w:val="2"/>
          </w:tcPr>
          <w:p w14:paraId="4B358E51">
            <w:pPr>
              <w:spacing w:before="57" w:line="226" w:lineRule="auto"/>
              <w:ind w:left="132"/>
              <w:rPr>
                <w:rFonts w:hint="default" w:ascii="Times New Roman" w:hAnsi="Times New Roman" w:eastAsia="仿宋_GB2312" w:cs="Times New Roman"/>
                <w:sz w:val="19"/>
                <w:szCs w:val="19"/>
              </w:rPr>
            </w:pPr>
            <w:r>
              <w:rPr>
                <w:rFonts w:hint="default" w:ascii="Times New Roman" w:hAnsi="Times New Roman" w:eastAsia="仿宋_GB2312" w:cs="Times New Roman"/>
                <w:spacing w:val="14"/>
                <w:sz w:val="19"/>
                <w:szCs w:val="19"/>
              </w:rPr>
              <w:t>□</w:t>
            </w:r>
            <w:r>
              <w:rPr>
                <w:rFonts w:hint="default" w:ascii="Times New Roman" w:hAnsi="Times New Roman" w:eastAsia="仿宋_GB2312" w:cs="Times New Roman"/>
                <w:spacing w:val="7"/>
                <w:sz w:val="19"/>
                <w:szCs w:val="19"/>
              </w:rPr>
              <w:t>没有实施专业化物业管理</w:t>
            </w:r>
          </w:p>
          <w:p w14:paraId="6228A220">
            <w:pPr>
              <w:spacing w:before="46" w:line="226" w:lineRule="auto"/>
              <w:ind w:left="132"/>
              <w:rPr>
                <w:rFonts w:hint="default" w:ascii="Times New Roman" w:hAnsi="Times New Roman" w:eastAsia="仿宋_GB2312" w:cs="Times New Roman"/>
                <w:sz w:val="19"/>
                <w:szCs w:val="19"/>
              </w:rPr>
            </w:pPr>
            <w:r>
              <w:rPr>
                <w:rFonts w:hint="default" w:ascii="Times New Roman" w:hAnsi="Times New Roman" w:eastAsia="仿宋_GB2312" w:cs="Times New Roman"/>
                <w:spacing w:val="14"/>
                <w:sz w:val="19"/>
                <w:szCs w:val="19"/>
              </w:rPr>
              <w:t>□</w:t>
            </w:r>
            <w:r>
              <w:rPr>
                <w:rFonts w:hint="default" w:ascii="Times New Roman" w:hAnsi="Times New Roman" w:eastAsia="仿宋_GB2312" w:cs="Times New Roman"/>
                <w:spacing w:val="7"/>
                <w:sz w:val="19"/>
                <w:szCs w:val="19"/>
              </w:rPr>
              <w:t>党建引领要求落实不到位</w:t>
            </w:r>
          </w:p>
          <w:p w14:paraId="72DB4DB7">
            <w:pPr>
              <w:spacing w:before="48" w:line="249" w:lineRule="auto"/>
              <w:ind w:left="116" w:right="262" w:firstLine="15"/>
              <w:rPr>
                <w:rFonts w:hint="default" w:ascii="Times New Roman" w:hAnsi="Times New Roman" w:eastAsia="仿宋_GB2312" w:cs="Times New Roman"/>
                <w:sz w:val="19"/>
                <w:szCs w:val="19"/>
              </w:rPr>
            </w:pPr>
            <w:r>
              <w:rPr>
                <w:rFonts w:hint="default" w:ascii="Times New Roman" w:hAnsi="Times New Roman" w:eastAsia="仿宋_GB2312" w:cs="Times New Roman"/>
                <w:spacing w:val="16"/>
                <w:sz w:val="19"/>
                <w:szCs w:val="19"/>
              </w:rPr>
              <w:t>□</w:t>
            </w:r>
            <w:r>
              <w:rPr>
                <w:rFonts w:hint="default" w:ascii="Times New Roman" w:hAnsi="Times New Roman" w:eastAsia="仿宋_GB2312" w:cs="Times New Roman"/>
                <w:spacing w:val="11"/>
                <w:sz w:val="19"/>
                <w:szCs w:val="19"/>
              </w:rPr>
              <w:t>没</w:t>
            </w:r>
            <w:r>
              <w:rPr>
                <w:rFonts w:hint="default" w:ascii="Times New Roman" w:hAnsi="Times New Roman" w:eastAsia="仿宋_GB2312" w:cs="Times New Roman"/>
                <w:spacing w:val="8"/>
                <w:sz w:val="19"/>
                <w:szCs w:val="19"/>
              </w:rPr>
              <w:t>有按照物业服务合同约定对房屋及配套设</w:t>
            </w:r>
            <w:r>
              <w:rPr>
                <w:rFonts w:hint="default" w:ascii="Times New Roman" w:hAnsi="Times New Roman" w:eastAsia="仿宋_GB2312" w:cs="Times New Roman"/>
                <w:sz w:val="19"/>
                <w:szCs w:val="19"/>
              </w:rPr>
              <w:t xml:space="preserve"> </w:t>
            </w:r>
            <w:r>
              <w:rPr>
                <w:rFonts w:hint="default" w:ascii="Times New Roman" w:hAnsi="Times New Roman" w:eastAsia="仿宋_GB2312" w:cs="Times New Roman"/>
                <w:spacing w:val="9"/>
                <w:sz w:val="19"/>
                <w:szCs w:val="19"/>
              </w:rPr>
              <w:t>施设备进行维修、养护和管</w:t>
            </w:r>
            <w:r>
              <w:rPr>
                <w:rFonts w:hint="default" w:ascii="Times New Roman" w:hAnsi="Times New Roman" w:eastAsia="仿宋_GB2312" w:cs="Times New Roman"/>
                <w:spacing w:val="7"/>
                <w:sz w:val="19"/>
                <w:szCs w:val="19"/>
              </w:rPr>
              <w:t>理</w:t>
            </w:r>
          </w:p>
          <w:p w14:paraId="08512D4F">
            <w:pPr>
              <w:spacing w:before="46" w:line="226" w:lineRule="auto"/>
              <w:ind w:left="132"/>
              <w:rPr>
                <w:rFonts w:hint="default" w:ascii="Times New Roman" w:hAnsi="Times New Roman" w:eastAsia="仿宋_GB2312" w:cs="Times New Roman"/>
                <w:sz w:val="19"/>
                <w:szCs w:val="19"/>
              </w:rPr>
            </w:pPr>
            <w:r>
              <w:rPr>
                <w:rFonts w:hint="default" w:ascii="Times New Roman" w:hAnsi="Times New Roman" w:eastAsia="仿宋_GB2312" w:cs="Times New Roman"/>
                <w:spacing w:val="16"/>
                <w:sz w:val="19"/>
                <w:szCs w:val="19"/>
              </w:rPr>
              <w:t>□</w:t>
            </w:r>
            <w:r>
              <w:rPr>
                <w:rFonts w:hint="default" w:ascii="Times New Roman" w:hAnsi="Times New Roman" w:eastAsia="仿宋_GB2312" w:cs="Times New Roman"/>
                <w:spacing w:val="8"/>
                <w:sz w:val="19"/>
                <w:szCs w:val="19"/>
              </w:rPr>
              <w:t>不能及时处理居民报修、求助等各类信息</w:t>
            </w:r>
          </w:p>
          <w:p w14:paraId="5A193584">
            <w:pPr>
              <w:spacing w:before="48" w:line="226" w:lineRule="auto"/>
              <w:ind w:left="132"/>
              <w:rPr>
                <w:rFonts w:hint="default" w:ascii="Times New Roman" w:hAnsi="Times New Roman" w:eastAsia="仿宋_GB2312" w:cs="Times New Roman"/>
                <w:sz w:val="19"/>
                <w:szCs w:val="19"/>
              </w:rPr>
            </w:pPr>
            <w:r>
              <w:rPr>
                <w:rFonts w:hint="default" w:ascii="Times New Roman" w:hAnsi="Times New Roman" w:eastAsia="仿宋_GB2312" w:cs="Times New Roman"/>
                <w:spacing w:val="9"/>
                <w:sz w:val="19"/>
                <w:szCs w:val="19"/>
              </w:rPr>
              <w:t>□</w:t>
            </w:r>
            <w:r>
              <w:rPr>
                <w:rFonts w:hint="default" w:ascii="Times New Roman" w:hAnsi="Times New Roman" w:eastAsia="仿宋_GB2312" w:cs="Times New Roman"/>
                <w:spacing w:val="8"/>
                <w:sz w:val="19"/>
                <w:szCs w:val="19"/>
              </w:rPr>
              <w:t>秩序维护和环境卫生服务不到位</w:t>
            </w:r>
          </w:p>
          <w:p w14:paraId="75A497EA">
            <w:pPr>
              <w:spacing w:before="49" w:line="223" w:lineRule="auto"/>
              <w:ind w:left="132"/>
              <w:rPr>
                <w:rFonts w:hint="default" w:ascii="Times New Roman" w:hAnsi="Times New Roman" w:eastAsia="仿宋_GB2312" w:cs="Times New Roman"/>
                <w:sz w:val="19"/>
                <w:szCs w:val="19"/>
              </w:rPr>
            </w:pPr>
            <w:r>
              <w:rPr>
                <w:rFonts w:hint="default" w:ascii="Times New Roman" w:hAnsi="Times New Roman" w:eastAsia="仿宋_GB2312" w:cs="Times New Roman"/>
                <w:spacing w:val="-1"/>
                <w:sz w:val="19"/>
                <w:szCs w:val="19"/>
              </w:rPr>
              <w:t>□其</w:t>
            </w:r>
            <w:r>
              <w:rPr>
                <w:rFonts w:hint="default" w:ascii="Times New Roman" w:hAnsi="Times New Roman" w:eastAsia="仿宋_GB2312" w:cs="Times New Roman"/>
                <w:sz w:val="19"/>
                <w:szCs w:val="19"/>
              </w:rPr>
              <w:t>他问题： ____________</w:t>
            </w:r>
          </w:p>
        </w:tc>
      </w:tr>
      <w:tr w14:paraId="3D3181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5" w:hRule="atLeast"/>
          <w:jc w:val="center"/>
        </w:trPr>
        <w:tc>
          <w:tcPr>
            <w:tcW w:w="538" w:type="dxa"/>
            <w:vMerge w:val="continue"/>
          </w:tcPr>
          <w:p w14:paraId="05937CA8">
            <w:pPr>
              <w:rPr>
                <w:rFonts w:hint="default" w:ascii="Times New Roman" w:hAnsi="Times New Roman" w:eastAsia="仿宋_GB2312" w:cs="Times New Roman"/>
              </w:rPr>
            </w:pPr>
          </w:p>
        </w:tc>
        <w:tc>
          <w:tcPr>
            <w:tcW w:w="1134" w:type="dxa"/>
            <w:vMerge w:val="continue"/>
            <w:tcBorders>
              <w:top w:val="nil"/>
              <w:bottom w:val="nil"/>
            </w:tcBorders>
          </w:tcPr>
          <w:p w14:paraId="2225C20D">
            <w:pPr>
              <w:rPr>
                <w:rFonts w:hint="default" w:ascii="Times New Roman" w:hAnsi="Times New Roman" w:eastAsia="仿宋_GB2312" w:cs="Times New Roman"/>
              </w:rPr>
            </w:pPr>
          </w:p>
        </w:tc>
        <w:tc>
          <w:tcPr>
            <w:tcW w:w="424" w:type="dxa"/>
            <w:vMerge w:val="restart"/>
            <w:tcBorders>
              <w:bottom w:val="nil"/>
            </w:tcBorders>
          </w:tcPr>
          <w:p w14:paraId="235FF23B">
            <w:pPr>
              <w:spacing w:line="248" w:lineRule="auto"/>
              <w:rPr>
                <w:rFonts w:hint="default" w:ascii="Times New Roman" w:hAnsi="Times New Roman" w:eastAsia="仿宋_GB2312" w:cs="Times New Roman"/>
              </w:rPr>
            </w:pPr>
          </w:p>
          <w:p w14:paraId="5785E548">
            <w:pPr>
              <w:spacing w:line="248" w:lineRule="auto"/>
              <w:rPr>
                <w:rFonts w:hint="default" w:ascii="Times New Roman" w:hAnsi="Times New Roman" w:eastAsia="仿宋_GB2312" w:cs="Times New Roman"/>
              </w:rPr>
            </w:pPr>
          </w:p>
          <w:p w14:paraId="09C67EF1">
            <w:pPr>
              <w:spacing w:line="249" w:lineRule="auto"/>
              <w:rPr>
                <w:rFonts w:hint="default" w:ascii="Times New Roman" w:hAnsi="Times New Roman" w:eastAsia="仿宋_GB2312" w:cs="Times New Roman"/>
              </w:rPr>
            </w:pPr>
          </w:p>
          <w:p w14:paraId="0E5BFDD3">
            <w:pPr>
              <w:spacing w:before="62" w:line="185" w:lineRule="auto"/>
              <w:ind w:left="130"/>
              <w:rPr>
                <w:rFonts w:hint="default" w:ascii="Times New Roman" w:hAnsi="Times New Roman" w:eastAsia="仿宋_GB2312" w:cs="Times New Roman"/>
                <w:sz w:val="19"/>
                <w:szCs w:val="19"/>
              </w:rPr>
            </w:pPr>
            <w:r>
              <w:rPr>
                <w:rFonts w:hint="default" w:ascii="Times New Roman" w:hAnsi="Times New Roman" w:eastAsia="仿宋_GB2312" w:cs="Times New Roman"/>
                <w:spacing w:val="-7"/>
                <w:sz w:val="19"/>
                <w:szCs w:val="19"/>
              </w:rPr>
              <w:t>1</w:t>
            </w:r>
            <w:r>
              <w:rPr>
                <w:rFonts w:hint="default" w:ascii="Times New Roman" w:hAnsi="Times New Roman" w:eastAsia="仿宋_GB2312" w:cs="Times New Roman"/>
                <w:spacing w:val="-5"/>
                <w:sz w:val="19"/>
                <w:szCs w:val="19"/>
              </w:rPr>
              <w:t>1</w:t>
            </w:r>
          </w:p>
        </w:tc>
        <w:tc>
          <w:tcPr>
            <w:tcW w:w="1277" w:type="dxa"/>
            <w:vMerge w:val="restart"/>
            <w:tcBorders>
              <w:bottom w:val="nil"/>
            </w:tcBorders>
          </w:tcPr>
          <w:p w14:paraId="3CDEEF6A">
            <w:pPr>
              <w:spacing w:line="354" w:lineRule="auto"/>
              <w:rPr>
                <w:rFonts w:hint="default" w:ascii="Times New Roman" w:hAnsi="Times New Roman" w:eastAsia="仿宋_GB2312" w:cs="Times New Roman"/>
              </w:rPr>
            </w:pPr>
          </w:p>
          <w:p w14:paraId="2EA3D0C1">
            <w:pPr>
              <w:spacing w:line="355" w:lineRule="auto"/>
              <w:rPr>
                <w:rFonts w:hint="default" w:ascii="Times New Roman" w:hAnsi="Times New Roman" w:eastAsia="仿宋_GB2312" w:cs="Times New Roman"/>
              </w:rPr>
            </w:pPr>
          </w:p>
          <w:p w14:paraId="62DC7951">
            <w:pPr>
              <w:spacing w:before="62" w:line="227" w:lineRule="auto"/>
              <w:ind w:left="146"/>
              <w:rPr>
                <w:rFonts w:hint="default" w:ascii="Times New Roman" w:hAnsi="Times New Roman" w:eastAsia="仿宋_GB2312" w:cs="Times New Roman"/>
                <w:sz w:val="19"/>
                <w:szCs w:val="19"/>
              </w:rPr>
            </w:pPr>
            <w:r>
              <w:rPr>
                <w:rFonts w:hint="default" w:ascii="Times New Roman" w:hAnsi="Times New Roman" w:eastAsia="仿宋_GB2312" w:cs="Times New Roman"/>
                <w:spacing w:val="9"/>
                <w:sz w:val="19"/>
                <w:szCs w:val="19"/>
              </w:rPr>
              <w:t>智</w:t>
            </w:r>
            <w:r>
              <w:rPr>
                <w:rFonts w:hint="default" w:ascii="Times New Roman" w:hAnsi="Times New Roman" w:eastAsia="仿宋_GB2312" w:cs="Times New Roman"/>
                <w:spacing w:val="7"/>
                <w:sz w:val="19"/>
                <w:szCs w:val="19"/>
              </w:rPr>
              <w:t>慧化改造</w:t>
            </w:r>
          </w:p>
        </w:tc>
        <w:tc>
          <w:tcPr>
            <w:tcW w:w="2152" w:type="dxa"/>
          </w:tcPr>
          <w:p w14:paraId="729130C6">
            <w:pPr>
              <w:spacing w:line="287" w:lineRule="auto"/>
              <w:rPr>
                <w:rFonts w:hint="default" w:ascii="Times New Roman" w:hAnsi="Times New Roman" w:eastAsia="仿宋_GB2312" w:cs="Times New Roman"/>
              </w:rPr>
            </w:pPr>
          </w:p>
          <w:p w14:paraId="707C0622">
            <w:pPr>
              <w:spacing w:before="62" w:line="224" w:lineRule="auto"/>
              <w:ind w:left="121"/>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存</w:t>
            </w:r>
            <w:r>
              <w:rPr>
                <w:rFonts w:hint="default" w:ascii="Times New Roman" w:hAnsi="Times New Roman" w:eastAsia="仿宋_GB2312" w:cs="Times New Roman"/>
                <w:spacing w:val="7"/>
                <w:sz w:val="19"/>
                <w:szCs w:val="19"/>
              </w:rPr>
              <w:t>在哪些问题</w:t>
            </w:r>
          </w:p>
        </w:tc>
        <w:tc>
          <w:tcPr>
            <w:tcW w:w="4371" w:type="dxa"/>
            <w:gridSpan w:val="2"/>
          </w:tcPr>
          <w:p w14:paraId="4BDA2272">
            <w:pPr>
              <w:spacing w:before="55" w:line="225" w:lineRule="auto"/>
              <w:ind w:left="132"/>
              <w:rPr>
                <w:rFonts w:hint="default" w:ascii="Times New Roman" w:hAnsi="Times New Roman" w:eastAsia="仿宋_GB2312" w:cs="Times New Roman"/>
                <w:sz w:val="19"/>
                <w:szCs w:val="19"/>
              </w:rPr>
            </w:pPr>
            <w:r>
              <w:rPr>
                <w:rFonts w:hint="default" w:ascii="Times New Roman" w:hAnsi="Times New Roman" w:eastAsia="仿宋_GB2312" w:cs="Times New Roman"/>
                <w:spacing w:val="9"/>
                <w:sz w:val="19"/>
                <w:szCs w:val="19"/>
              </w:rPr>
              <w:t>□</w:t>
            </w:r>
            <w:r>
              <w:rPr>
                <w:rFonts w:hint="default" w:ascii="Times New Roman" w:hAnsi="Times New Roman" w:eastAsia="仿宋_GB2312" w:cs="Times New Roman"/>
                <w:spacing w:val="8"/>
                <w:sz w:val="19"/>
                <w:szCs w:val="19"/>
              </w:rPr>
              <w:t>未安装智能信包箱、智能快递柜</w:t>
            </w:r>
          </w:p>
          <w:p w14:paraId="02CAB2C9">
            <w:pPr>
              <w:spacing w:before="47" w:line="226" w:lineRule="auto"/>
              <w:ind w:left="132"/>
              <w:rPr>
                <w:rFonts w:hint="default" w:ascii="Times New Roman" w:hAnsi="Times New Roman" w:eastAsia="仿宋_GB2312" w:cs="Times New Roman"/>
                <w:sz w:val="19"/>
                <w:szCs w:val="19"/>
              </w:rPr>
            </w:pPr>
            <w:r>
              <w:rPr>
                <w:rFonts w:hint="default" w:ascii="Times New Roman" w:hAnsi="Times New Roman" w:eastAsia="仿宋_GB2312" w:cs="Times New Roman"/>
                <w:spacing w:val="9"/>
                <w:sz w:val="19"/>
                <w:szCs w:val="19"/>
              </w:rPr>
              <w:t>□</w:t>
            </w:r>
            <w:r>
              <w:rPr>
                <w:rFonts w:hint="default" w:ascii="Times New Roman" w:hAnsi="Times New Roman" w:eastAsia="仿宋_GB2312" w:cs="Times New Roman"/>
                <w:spacing w:val="8"/>
                <w:sz w:val="19"/>
                <w:szCs w:val="19"/>
              </w:rPr>
              <w:t>智能安防设施及系统建设不完善</w:t>
            </w:r>
          </w:p>
          <w:p w14:paraId="08D75464">
            <w:pPr>
              <w:spacing w:before="49" w:line="223" w:lineRule="auto"/>
              <w:ind w:left="132"/>
              <w:rPr>
                <w:rFonts w:hint="default" w:ascii="Times New Roman" w:hAnsi="Times New Roman" w:eastAsia="仿宋_GB2312" w:cs="Times New Roman"/>
                <w:sz w:val="19"/>
                <w:szCs w:val="19"/>
              </w:rPr>
            </w:pPr>
            <w:r>
              <w:rPr>
                <w:rFonts w:hint="default" w:ascii="Times New Roman" w:hAnsi="Times New Roman" w:eastAsia="仿宋_GB2312" w:cs="Times New Roman"/>
                <w:spacing w:val="-1"/>
                <w:sz w:val="19"/>
                <w:szCs w:val="19"/>
              </w:rPr>
              <w:t>□其</w:t>
            </w:r>
            <w:r>
              <w:rPr>
                <w:rFonts w:hint="default" w:ascii="Times New Roman" w:hAnsi="Times New Roman" w:eastAsia="仿宋_GB2312" w:cs="Times New Roman"/>
                <w:sz w:val="19"/>
                <w:szCs w:val="19"/>
              </w:rPr>
              <w:t>他问题： ____________</w:t>
            </w:r>
          </w:p>
        </w:tc>
      </w:tr>
      <w:tr w14:paraId="6D2AC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jc w:val="center"/>
        </w:trPr>
        <w:tc>
          <w:tcPr>
            <w:tcW w:w="538" w:type="dxa"/>
            <w:vMerge w:val="continue"/>
          </w:tcPr>
          <w:p w14:paraId="2F94B5BA">
            <w:pPr>
              <w:rPr>
                <w:rFonts w:hint="default" w:ascii="Times New Roman" w:hAnsi="Times New Roman" w:eastAsia="仿宋_GB2312" w:cs="Times New Roman"/>
              </w:rPr>
            </w:pPr>
          </w:p>
        </w:tc>
        <w:tc>
          <w:tcPr>
            <w:tcW w:w="1134" w:type="dxa"/>
            <w:vMerge w:val="continue"/>
            <w:tcBorders>
              <w:top w:val="nil"/>
            </w:tcBorders>
          </w:tcPr>
          <w:p w14:paraId="3E6E7627">
            <w:pPr>
              <w:rPr>
                <w:rFonts w:hint="default" w:ascii="Times New Roman" w:hAnsi="Times New Roman" w:eastAsia="仿宋_GB2312" w:cs="Times New Roman"/>
              </w:rPr>
            </w:pPr>
          </w:p>
        </w:tc>
        <w:tc>
          <w:tcPr>
            <w:tcW w:w="424" w:type="dxa"/>
            <w:vMerge w:val="continue"/>
            <w:tcBorders>
              <w:top w:val="nil"/>
            </w:tcBorders>
          </w:tcPr>
          <w:p w14:paraId="5590258F">
            <w:pPr>
              <w:rPr>
                <w:rFonts w:hint="default" w:ascii="Times New Roman" w:hAnsi="Times New Roman" w:eastAsia="仿宋_GB2312" w:cs="Times New Roman"/>
              </w:rPr>
            </w:pPr>
          </w:p>
        </w:tc>
        <w:tc>
          <w:tcPr>
            <w:tcW w:w="1277" w:type="dxa"/>
            <w:vMerge w:val="continue"/>
            <w:tcBorders>
              <w:top w:val="nil"/>
            </w:tcBorders>
          </w:tcPr>
          <w:p w14:paraId="7C949300">
            <w:pPr>
              <w:rPr>
                <w:rFonts w:hint="default" w:ascii="Times New Roman" w:hAnsi="Times New Roman" w:eastAsia="仿宋_GB2312" w:cs="Times New Roman"/>
              </w:rPr>
            </w:pPr>
          </w:p>
        </w:tc>
        <w:tc>
          <w:tcPr>
            <w:tcW w:w="2152" w:type="dxa"/>
          </w:tcPr>
          <w:p w14:paraId="0359293F">
            <w:pPr>
              <w:spacing w:before="198" w:line="284" w:lineRule="auto"/>
              <w:ind w:left="118" w:right="242" w:hanging="2"/>
              <w:rPr>
                <w:rFonts w:hint="default" w:ascii="Times New Roman" w:hAnsi="Times New Roman" w:eastAsia="仿宋_GB2312" w:cs="Times New Roman"/>
                <w:sz w:val="19"/>
                <w:szCs w:val="19"/>
              </w:rPr>
            </w:pPr>
            <w:r>
              <w:rPr>
                <w:rFonts w:hint="default" w:ascii="Times New Roman" w:hAnsi="Times New Roman" w:eastAsia="仿宋_GB2312" w:cs="Times New Roman"/>
                <w:spacing w:val="14"/>
                <w:sz w:val="19"/>
                <w:szCs w:val="19"/>
              </w:rPr>
              <w:t>有</w:t>
            </w:r>
            <w:r>
              <w:rPr>
                <w:rFonts w:hint="default" w:ascii="Times New Roman" w:hAnsi="Times New Roman" w:eastAsia="仿宋_GB2312" w:cs="Times New Roman"/>
                <w:spacing w:val="8"/>
                <w:sz w:val="19"/>
                <w:szCs w:val="19"/>
              </w:rPr>
              <w:t>条件的，查找差距</w:t>
            </w:r>
            <w:r>
              <w:rPr>
                <w:rFonts w:hint="default" w:ascii="Times New Roman" w:hAnsi="Times New Roman" w:eastAsia="仿宋_GB2312" w:cs="Times New Roman"/>
                <w:sz w:val="19"/>
                <w:szCs w:val="19"/>
              </w:rPr>
              <w:t xml:space="preserve"> </w:t>
            </w:r>
            <w:r>
              <w:rPr>
                <w:rFonts w:hint="default" w:ascii="Times New Roman" w:hAnsi="Times New Roman" w:eastAsia="仿宋_GB2312" w:cs="Times New Roman"/>
                <w:spacing w:val="6"/>
                <w:sz w:val="19"/>
                <w:szCs w:val="19"/>
              </w:rPr>
              <w:t>和</w:t>
            </w:r>
            <w:r>
              <w:rPr>
                <w:rFonts w:hint="default" w:ascii="Times New Roman" w:hAnsi="Times New Roman" w:eastAsia="仿宋_GB2312" w:cs="Times New Roman"/>
                <w:spacing w:val="5"/>
                <w:sz w:val="19"/>
                <w:szCs w:val="19"/>
              </w:rPr>
              <w:t>不足</w:t>
            </w:r>
          </w:p>
        </w:tc>
        <w:tc>
          <w:tcPr>
            <w:tcW w:w="4371" w:type="dxa"/>
            <w:gridSpan w:val="2"/>
          </w:tcPr>
          <w:p w14:paraId="347D8DF9">
            <w:pPr>
              <w:spacing w:before="57" w:line="226" w:lineRule="auto"/>
              <w:ind w:left="132"/>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□智慧社区综合信息平台建设不足</w:t>
            </w:r>
          </w:p>
          <w:p w14:paraId="2C981F80">
            <w:pPr>
              <w:spacing w:before="48" w:line="226" w:lineRule="auto"/>
              <w:ind w:left="132"/>
              <w:rPr>
                <w:rFonts w:hint="default" w:ascii="Times New Roman" w:hAnsi="Times New Roman" w:eastAsia="仿宋_GB2312" w:cs="Times New Roman"/>
                <w:sz w:val="19"/>
                <w:szCs w:val="19"/>
              </w:rPr>
            </w:pPr>
            <w:r>
              <w:rPr>
                <w:rFonts w:hint="default" w:ascii="Times New Roman" w:hAnsi="Times New Roman" w:eastAsia="仿宋_GB2312" w:cs="Times New Roman"/>
                <w:spacing w:val="14"/>
                <w:sz w:val="19"/>
                <w:szCs w:val="19"/>
              </w:rPr>
              <w:t>□</w:t>
            </w:r>
            <w:r>
              <w:rPr>
                <w:rFonts w:hint="default" w:ascii="Times New Roman" w:hAnsi="Times New Roman" w:eastAsia="仿宋_GB2312" w:cs="Times New Roman"/>
                <w:spacing w:val="7"/>
                <w:sz w:val="19"/>
                <w:szCs w:val="19"/>
              </w:rPr>
              <w:t>公共服务信息化建设不足</w:t>
            </w:r>
          </w:p>
          <w:p w14:paraId="767DFBB7">
            <w:pPr>
              <w:spacing w:before="47" w:line="223" w:lineRule="auto"/>
              <w:ind w:left="132"/>
              <w:rPr>
                <w:rFonts w:hint="default" w:ascii="Times New Roman" w:hAnsi="Times New Roman" w:eastAsia="仿宋_GB2312" w:cs="Times New Roman"/>
                <w:sz w:val="19"/>
                <w:szCs w:val="19"/>
              </w:rPr>
            </w:pPr>
            <w:r>
              <w:rPr>
                <w:rFonts w:hint="default" w:ascii="Times New Roman" w:hAnsi="Times New Roman" w:eastAsia="仿宋_GB2312" w:cs="Times New Roman"/>
                <w:spacing w:val="-1"/>
                <w:sz w:val="19"/>
                <w:szCs w:val="19"/>
              </w:rPr>
              <w:t>□其</w:t>
            </w:r>
            <w:r>
              <w:rPr>
                <w:rFonts w:hint="default" w:ascii="Times New Roman" w:hAnsi="Times New Roman" w:eastAsia="仿宋_GB2312" w:cs="Times New Roman"/>
                <w:sz w:val="19"/>
                <w:szCs w:val="19"/>
              </w:rPr>
              <w:t>他问题： ____________</w:t>
            </w:r>
          </w:p>
        </w:tc>
      </w:tr>
    </w:tbl>
    <w:p w14:paraId="66CD00FA">
      <w:pPr>
        <w:widowControl/>
        <w:rPr>
          <w:rFonts w:hint="default" w:ascii="Times New Roman" w:hAnsi="Times New Roman" w:cs="Times New Roman"/>
          <w:color w:val="000000"/>
          <w:sz w:val="32"/>
          <w:szCs w:val="44"/>
        </w:rPr>
      </w:pPr>
    </w:p>
    <w:p w14:paraId="1875CCA0">
      <w:pPr>
        <w:widowControl/>
        <w:rPr>
          <w:rFonts w:hint="default" w:ascii="Times New Roman" w:hAnsi="Times New Roman" w:cs="Times New Roman"/>
          <w:color w:val="000000"/>
          <w:sz w:val="32"/>
          <w:szCs w:val="44"/>
        </w:rPr>
      </w:pPr>
    </w:p>
    <w:p w14:paraId="6C07CEA2">
      <w:pPr>
        <w:pStyle w:val="2"/>
        <w:ind w:firstLine="640"/>
        <w:rPr>
          <w:rFonts w:hint="default" w:ascii="Times New Roman" w:hAnsi="Times New Roman" w:cs="Times New Roman"/>
          <w:color w:val="000000"/>
          <w:sz w:val="32"/>
          <w:szCs w:val="44"/>
        </w:rPr>
      </w:pPr>
    </w:p>
    <w:tbl>
      <w:tblPr>
        <w:tblStyle w:val="57"/>
        <w:tblW w:w="1018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5"/>
        <w:gridCol w:w="667"/>
        <w:gridCol w:w="670"/>
        <w:gridCol w:w="341"/>
        <w:gridCol w:w="467"/>
        <w:gridCol w:w="836"/>
        <w:gridCol w:w="754"/>
        <w:gridCol w:w="367"/>
        <w:gridCol w:w="698"/>
        <w:gridCol w:w="821"/>
        <w:gridCol w:w="2194"/>
        <w:gridCol w:w="1644"/>
        <w:gridCol w:w="240"/>
      </w:tblGrid>
      <w:tr w14:paraId="58A03F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jc w:val="center"/>
        </w:trPr>
        <w:tc>
          <w:tcPr>
            <w:tcW w:w="10184" w:type="dxa"/>
            <w:gridSpan w:val="13"/>
            <w:vAlign w:val="center"/>
          </w:tcPr>
          <w:p w14:paraId="07D4A2DD">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eastAsia="微软雅黑" w:cs="Times New Roman"/>
                <w:sz w:val="31"/>
                <w:szCs w:val="31"/>
              </w:rPr>
            </w:pPr>
            <w:r>
              <w:rPr>
                <w:rFonts w:hint="default" w:ascii="Times New Roman" w:hAnsi="Times New Roman" w:eastAsia="微软雅黑" w:cs="Times New Roman"/>
                <w:spacing w:val="17"/>
                <w:sz w:val="31"/>
                <w:szCs w:val="31"/>
              </w:rPr>
              <w:t>街</w:t>
            </w:r>
            <w:r>
              <w:rPr>
                <w:rFonts w:hint="default" w:ascii="Times New Roman" w:hAnsi="Times New Roman" w:eastAsia="微软雅黑" w:cs="Times New Roman"/>
                <w:spacing w:val="9"/>
                <w:sz w:val="31"/>
                <w:szCs w:val="31"/>
              </w:rPr>
              <w:t>区维度城市体检指标调研表</w:t>
            </w:r>
          </w:p>
        </w:tc>
      </w:tr>
      <w:tr w14:paraId="377D2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0184" w:type="dxa"/>
            <w:gridSpan w:val="13"/>
            <w:vAlign w:val="center"/>
          </w:tcPr>
          <w:p w14:paraId="09D1AA6D">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pacing w:val="-2"/>
                <w:sz w:val="24"/>
                <w:szCs w:val="24"/>
              </w:rPr>
              <w:t>第一部分：基本信息</w:t>
            </w:r>
          </w:p>
        </w:tc>
      </w:tr>
      <w:tr w14:paraId="0D6B84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485" w:type="dxa"/>
            <w:vMerge w:val="restart"/>
            <w:tcBorders>
              <w:bottom w:val="nil"/>
            </w:tcBorders>
            <w:textDirection w:val="tbRlV"/>
          </w:tcPr>
          <w:p w14:paraId="7266C64D">
            <w:pPr>
              <w:keepNext w:val="0"/>
              <w:keepLines w:val="0"/>
              <w:pageBreakBefore w:val="0"/>
              <w:widowControl w:val="0"/>
              <w:kinsoku/>
              <w:wordWrap/>
              <w:overflowPunct/>
              <w:topLinePunct w:val="0"/>
              <w:autoSpaceDE/>
              <w:autoSpaceDN/>
              <w:bidi w:val="0"/>
              <w:adjustRightInd/>
              <w:snapToGrid/>
              <w:spacing w:line="500" w:lineRule="exact"/>
              <w:ind w:left="157"/>
              <w:jc w:val="center"/>
              <w:textAlignment w:val="auto"/>
              <w:rPr>
                <w:rFonts w:hint="default" w:ascii="Times New Roman" w:hAnsi="Times New Roman" w:eastAsia="黑体" w:cs="Times New Roman"/>
                <w:spacing w:val="-21"/>
                <w:sz w:val="24"/>
                <w:szCs w:val="24"/>
              </w:rPr>
            </w:pPr>
            <w:r>
              <w:rPr>
                <w:rFonts w:hint="default" w:ascii="Times New Roman" w:hAnsi="Times New Roman" w:eastAsia="黑体" w:cs="Times New Roman"/>
                <w:spacing w:val="-21"/>
                <w:sz w:val="24"/>
                <w:szCs w:val="24"/>
              </w:rPr>
              <w:t>基 本 情 况</w:t>
            </w:r>
          </w:p>
        </w:tc>
        <w:tc>
          <w:tcPr>
            <w:tcW w:w="1678" w:type="dxa"/>
            <w:gridSpan w:val="3"/>
            <w:vAlign w:val="center"/>
          </w:tcPr>
          <w:p w14:paraId="37553756">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行政街道名称</w:t>
            </w:r>
          </w:p>
        </w:tc>
        <w:tc>
          <w:tcPr>
            <w:tcW w:w="8021" w:type="dxa"/>
            <w:gridSpan w:val="9"/>
          </w:tcPr>
          <w:p w14:paraId="5AC61367">
            <w:pPr>
              <w:keepNext w:val="0"/>
              <w:keepLines w:val="0"/>
              <w:pageBreakBefore w:val="0"/>
              <w:widowControl w:val="0"/>
              <w:kinsoku/>
              <w:wordWrap/>
              <w:overflowPunct/>
              <w:topLinePunct w:val="0"/>
              <w:autoSpaceDE/>
              <w:autoSpaceDN/>
              <w:bidi w:val="0"/>
              <w:adjustRightInd/>
              <w:snapToGrid/>
              <w:spacing w:line="260" w:lineRule="exact"/>
              <w:ind w:left="157"/>
              <w:textAlignment w:val="auto"/>
              <w:rPr>
                <w:rFonts w:hint="default" w:ascii="Times New Roman" w:hAnsi="Times New Roman" w:eastAsia="黑体" w:cs="Times New Roman"/>
                <w:spacing w:val="-21"/>
                <w:sz w:val="24"/>
                <w:szCs w:val="24"/>
              </w:rPr>
            </w:pPr>
          </w:p>
        </w:tc>
      </w:tr>
      <w:tr w14:paraId="519EF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3" w:hRule="atLeast"/>
          <w:jc w:val="center"/>
        </w:trPr>
        <w:tc>
          <w:tcPr>
            <w:tcW w:w="485" w:type="dxa"/>
            <w:vMerge w:val="continue"/>
            <w:tcBorders>
              <w:top w:val="nil"/>
              <w:bottom w:val="nil"/>
            </w:tcBorders>
            <w:textDirection w:val="tbRlV"/>
          </w:tcPr>
          <w:p w14:paraId="1254195A">
            <w:pPr>
              <w:keepNext w:val="0"/>
              <w:keepLines w:val="0"/>
              <w:pageBreakBefore w:val="0"/>
              <w:widowControl w:val="0"/>
              <w:kinsoku/>
              <w:wordWrap/>
              <w:overflowPunct/>
              <w:topLinePunct w:val="0"/>
              <w:autoSpaceDE/>
              <w:autoSpaceDN/>
              <w:bidi w:val="0"/>
              <w:adjustRightInd/>
              <w:snapToGrid/>
              <w:spacing w:line="500" w:lineRule="exact"/>
              <w:ind w:left="0"/>
              <w:jc w:val="both"/>
              <w:textAlignment w:val="auto"/>
              <w:rPr>
                <w:rFonts w:hint="default" w:ascii="Times New Roman" w:hAnsi="Times New Roman" w:eastAsia="仿宋_GB2312" w:cs="Times New Roman"/>
              </w:rPr>
            </w:pPr>
          </w:p>
        </w:tc>
        <w:tc>
          <w:tcPr>
            <w:tcW w:w="1678" w:type="dxa"/>
            <w:gridSpan w:val="3"/>
            <w:vAlign w:val="center"/>
          </w:tcPr>
          <w:p w14:paraId="5A8F8BBA">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街区面积</w:t>
            </w:r>
          </w:p>
        </w:tc>
        <w:tc>
          <w:tcPr>
            <w:tcW w:w="2424" w:type="dxa"/>
            <w:gridSpan w:val="4"/>
            <w:vAlign w:val="center"/>
          </w:tcPr>
          <w:p w14:paraId="6B4DA1A3">
            <w:pPr>
              <w:keepNext w:val="0"/>
              <w:keepLines w:val="0"/>
              <w:pageBreakBefore w:val="0"/>
              <w:widowControl w:val="0"/>
              <w:tabs>
                <w:tab w:val="left" w:pos="721"/>
              </w:tabs>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u w:val="single"/>
              </w:rPr>
              <w:tab/>
            </w:r>
            <w:r>
              <w:rPr>
                <w:rFonts w:hint="default" w:ascii="Times New Roman" w:hAnsi="Times New Roman" w:eastAsia="仿宋_GB2312" w:cs="Times New Roman"/>
                <w:spacing w:val="2"/>
                <w:sz w:val="19"/>
                <w:szCs w:val="19"/>
              </w:rPr>
              <w:t>公</w:t>
            </w:r>
            <w:r>
              <w:rPr>
                <w:rFonts w:hint="default" w:ascii="Times New Roman" w:hAnsi="Times New Roman" w:eastAsia="仿宋_GB2312" w:cs="Times New Roman"/>
                <w:spacing w:val="1"/>
                <w:sz w:val="19"/>
                <w:szCs w:val="19"/>
              </w:rPr>
              <w:t>顷</w:t>
            </w:r>
          </w:p>
        </w:tc>
        <w:tc>
          <w:tcPr>
            <w:tcW w:w="3713" w:type="dxa"/>
            <w:gridSpan w:val="3"/>
            <w:vAlign w:val="center"/>
          </w:tcPr>
          <w:p w14:paraId="4A6478E1">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街区管辖范围内的社区数量</w:t>
            </w:r>
          </w:p>
        </w:tc>
        <w:tc>
          <w:tcPr>
            <w:tcW w:w="1884" w:type="dxa"/>
            <w:gridSpan w:val="2"/>
            <w:vAlign w:val="center"/>
          </w:tcPr>
          <w:p w14:paraId="566A39BD">
            <w:pPr>
              <w:keepNext w:val="0"/>
              <w:keepLines w:val="0"/>
              <w:pageBreakBefore w:val="0"/>
              <w:widowControl w:val="0"/>
              <w:tabs>
                <w:tab w:val="left" w:pos="720"/>
              </w:tabs>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u w:val="single"/>
              </w:rPr>
              <w:tab/>
            </w:r>
            <w:r>
              <w:rPr>
                <w:rFonts w:hint="default" w:ascii="Times New Roman" w:hAnsi="Times New Roman" w:eastAsia="仿宋_GB2312" w:cs="Times New Roman"/>
                <w:sz w:val="19"/>
                <w:szCs w:val="19"/>
              </w:rPr>
              <w:t>个</w:t>
            </w:r>
          </w:p>
        </w:tc>
      </w:tr>
      <w:tr w14:paraId="09A3D1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485" w:type="dxa"/>
            <w:vMerge w:val="continue"/>
            <w:tcBorders>
              <w:top w:val="nil"/>
              <w:bottom w:val="nil"/>
            </w:tcBorders>
            <w:textDirection w:val="tbRlV"/>
          </w:tcPr>
          <w:p w14:paraId="368D491A">
            <w:pPr>
              <w:keepNext w:val="0"/>
              <w:keepLines w:val="0"/>
              <w:pageBreakBefore w:val="0"/>
              <w:widowControl w:val="0"/>
              <w:kinsoku/>
              <w:wordWrap/>
              <w:overflowPunct/>
              <w:topLinePunct w:val="0"/>
              <w:autoSpaceDE/>
              <w:autoSpaceDN/>
              <w:bidi w:val="0"/>
              <w:adjustRightInd/>
              <w:snapToGrid/>
              <w:spacing w:line="500" w:lineRule="exact"/>
              <w:ind w:left="0"/>
              <w:jc w:val="both"/>
              <w:textAlignment w:val="auto"/>
              <w:rPr>
                <w:rFonts w:hint="default" w:ascii="Times New Roman" w:hAnsi="Times New Roman" w:eastAsia="仿宋_GB2312" w:cs="Times New Roman"/>
              </w:rPr>
            </w:pPr>
          </w:p>
        </w:tc>
        <w:tc>
          <w:tcPr>
            <w:tcW w:w="1678" w:type="dxa"/>
            <w:gridSpan w:val="3"/>
            <w:vAlign w:val="center"/>
          </w:tcPr>
          <w:p w14:paraId="21B4E9CE">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覆盖居民人数</w:t>
            </w:r>
          </w:p>
        </w:tc>
        <w:tc>
          <w:tcPr>
            <w:tcW w:w="2424" w:type="dxa"/>
            <w:gridSpan w:val="4"/>
            <w:vAlign w:val="center"/>
          </w:tcPr>
          <w:p w14:paraId="6E871636">
            <w:pPr>
              <w:keepNext w:val="0"/>
              <w:keepLines w:val="0"/>
              <w:pageBreakBefore w:val="0"/>
              <w:widowControl w:val="0"/>
              <w:tabs>
                <w:tab w:val="left" w:pos="720"/>
              </w:tabs>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u w:val="single"/>
              </w:rPr>
              <w:tab/>
            </w:r>
            <w:r>
              <w:rPr>
                <w:rFonts w:hint="default" w:ascii="Times New Roman" w:hAnsi="Times New Roman" w:eastAsia="仿宋_GB2312" w:cs="Times New Roman"/>
                <w:sz w:val="19"/>
                <w:szCs w:val="19"/>
              </w:rPr>
              <w:t>人</w:t>
            </w:r>
          </w:p>
        </w:tc>
        <w:tc>
          <w:tcPr>
            <w:tcW w:w="3713" w:type="dxa"/>
            <w:gridSpan w:val="3"/>
            <w:vAlign w:val="center"/>
          </w:tcPr>
          <w:p w14:paraId="1134E3DD">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覆盖居民户数</w:t>
            </w:r>
          </w:p>
        </w:tc>
        <w:tc>
          <w:tcPr>
            <w:tcW w:w="1884" w:type="dxa"/>
            <w:gridSpan w:val="2"/>
            <w:vAlign w:val="center"/>
          </w:tcPr>
          <w:p w14:paraId="18135092">
            <w:pPr>
              <w:keepNext w:val="0"/>
              <w:keepLines w:val="0"/>
              <w:pageBreakBefore w:val="0"/>
              <w:widowControl w:val="0"/>
              <w:tabs>
                <w:tab w:val="left" w:pos="720"/>
              </w:tabs>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u w:val="single"/>
              </w:rPr>
              <w:tab/>
            </w:r>
            <w:r>
              <w:rPr>
                <w:rFonts w:hint="default" w:ascii="Times New Roman" w:hAnsi="Times New Roman" w:eastAsia="仿宋_GB2312" w:cs="Times New Roman"/>
                <w:sz w:val="19"/>
                <w:szCs w:val="19"/>
              </w:rPr>
              <w:t>户</w:t>
            </w:r>
          </w:p>
        </w:tc>
      </w:tr>
      <w:tr w14:paraId="4BCC4E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jc w:val="center"/>
        </w:trPr>
        <w:tc>
          <w:tcPr>
            <w:tcW w:w="485" w:type="dxa"/>
            <w:vMerge w:val="continue"/>
            <w:tcBorders>
              <w:top w:val="nil"/>
            </w:tcBorders>
            <w:textDirection w:val="tbRlV"/>
          </w:tcPr>
          <w:p w14:paraId="0BDEB157">
            <w:pPr>
              <w:keepNext w:val="0"/>
              <w:keepLines w:val="0"/>
              <w:pageBreakBefore w:val="0"/>
              <w:widowControl w:val="0"/>
              <w:kinsoku/>
              <w:wordWrap/>
              <w:overflowPunct/>
              <w:topLinePunct w:val="0"/>
              <w:autoSpaceDE/>
              <w:autoSpaceDN/>
              <w:bidi w:val="0"/>
              <w:adjustRightInd/>
              <w:snapToGrid/>
              <w:spacing w:line="500" w:lineRule="exact"/>
              <w:ind w:left="0"/>
              <w:jc w:val="both"/>
              <w:textAlignment w:val="auto"/>
              <w:rPr>
                <w:rFonts w:hint="default" w:ascii="Times New Roman" w:hAnsi="Times New Roman" w:eastAsia="仿宋_GB2312" w:cs="Times New Roman"/>
              </w:rPr>
            </w:pPr>
          </w:p>
        </w:tc>
        <w:tc>
          <w:tcPr>
            <w:tcW w:w="1678" w:type="dxa"/>
            <w:gridSpan w:val="3"/>
            <w:vAlign w:val="center"/>
          </w:tcPr>
          <w:p w14:paraId="295BB3C0">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覆盖企业数量</w:t>
            </w:r>
          </w:p>
        </w:tc>
        <w:tc>
          <w:tcPr>
            <w:tcW w:w="2424" w:type="dxa"/>
            <w:gridSpan w:val="4"/>
            <w:vAlign w:val="center"/>
          </w:tcPr>
          <w:p w14:paraId="6DC05860">
            <w:pPr>
              <w:keepNext w:val="0"/>
              <w:keepLines w:val="0"/>
              <w:pageBreakBefore w:val="0"/>
              <w:widowControl w:val="0"/>
              <w:tabs>
                <w:tab w:val="left" w:pos="719"/>
              </w:tabs>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u w:val="single"/>
              </w:rPr>
              <w:tab/>
            </w:r>
            <w:r>
              <w:rPr>
                <w:rFonts w:hint="default" w:ascii="Times New Roman" w:hAnsi="Times New Roman" w:eastAsia="仿宋_GB2312" w:cs="Times New Roman"/>
                <w:sz w:val="19"/>
                <w:szCs w:val="19"/>
              </w:rPr>
              <w:t>个</w:t>
            </w:r>
          </w:p>
        </w:tc>
        <w:tc>
          <w:tcPr>
            <w:tcW w:w="3713" w:type="dxa"/>
            <w:gridSpan w:val="3"/>
            <w:vAlign w:val="center"/>
          </w:tcPr>
          <w:p w14:paraId="57DE5936">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覆盖就业人数</w:t>
            </w:r>
          </w:p>
        </w:tc>
        <w:tc>
          <w:tcPr>
            <w:tcW w:w="1884" w:type="dxa"/>
            <w:gridSpan w:val="2"/>
            <w:vAlign w:val="center"/>
          </w:tcPr>
          <w:p w14:paraId="1EE13952">
            <w:pPr>
              <w:keepNext w:val="0"/>
              <w:keepLines w:val="0"/>
              <w:pageBreakBefore w:val="0"/>
              <w:widowControl w:val="0"/>
              <w:tabs>
                <w:tab w:val="left" w:pos="724"/>
              </w:tabs>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u w:val="single"/>
              </w:rPr>
              <w:tab/>
            </w:r>
            <w:r>
              <w:rPr>
                <w:rFonts w:hint="default" w:ascii="Times New Roman" w:hAnsi="Times New Roman" w:eastAsia="仿宋_GB2312" w:cs="Times New Roman"/>
                <w:sz w:val="19"/>
                <w:szCs w:val="19"/>
              </w:rPr>
              <w:t>人</w:t>
            </w:r>
          </w:p>
        </w:tc>
      </w:tr>
      <w:tr w14:paraId="74045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0184" w:type="dxa"/>
            <w:gridSpan w:val="13"/>
            <w:vAlign w:val="center"/>
          </w:tcPr>
          <w:p w14:paraId="0493029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黑体" w:cs="Times New Roman"/>
                <w:spacing w:val="-21"/>
                <w:sz w:val="24"/>
                <w:szCs w:val="24"/>
              </w:rPr>
            </w:pPr>
            <w:r>
              <w:rPr>
                <w:rFonts w:hint="default" w:ascii="Times New Roman" w:hAnsi="Times New Roman" w:eastAsia="仿宋_GB2312" w:cs="Times New Roman"/>
                <w:b/>
                <w:bCs/>
                <w:spacing w:val="-2"/>
                <w:sz w:val="24"/>
                <w:szCs w:val="24"/>
              </w:rPr>
              <w:t>第二部分：体检情况</w:t>
            </w:r>
          </w:p>
        </w:tc>
      </w:tr>
      <w:tr w14:paraId="642597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485" w:type="dxa"/>
            <w:vMerge w:val="restart"/>
            <w:tcBorders>
              <w:top w:val="single" w:color="auto" w:sz="4" w:space="0"/>
              <w:left w:val="single" w:color="auto" w:sz="4" w:space="0"/>
            </w:tcBorders>
            <w:textDirection w:val="tbRlV"/>
            <w:vAlign w:val="center"/>
          </w:tcPr>
          <w:p w14:paraId="73EFE6B6">
            <w:pPr>
              <w:keepNext w:val="0"/>
              <w:keepLines w:val="0"/>
              <w:pageBreakBefore w:val="0"/>
              <w:widowControl w:val="0"/>
              <w:kinsoku/>
              <w:wordWrap/>
              <w:overflowPunct/>
              <w:topLinePunct w:val="0"/>
              <w:autoSpaceDE/>
              <w:autoSpaceDN/>
              <w:bidi w:val="0"/>
              <w:adjustRightInd/>
              <w:snapToGrid/>
              <w:spacing w:line="500" w:lineRule="exact"/>
              <w:ind w:left="157"/>
              <w:jc w:val="center"/>
              <w:textAlignment w:val="auto"/>
              <w:rPr>
                <w:rFonts w:hint="default" w:ascii="Times New Roman" w:hAnsi="Times New Roman" w:eastAsia="黑体" w:cs="Times New Roman"/>
                <w:spacing w:val="-21"/>
                <w:sz w:val="24"/>
                <w:szCs w:val="24"/>
              </w:rPr>
            </w:pPr>
            <w:r>
              <w:rPr>
                <w:rFonts w:hint="default" w:ascii="Times New Roman" w:hAnsi="Times New Roman" w:eastAsia="黑体" w:cs="Times New Roman"/>
                <w:spacing w:val="-21"/>
                <w:sz w:val="24"/>
                <w:szCs w:val="24"/>
              </w:rPr>
              <w:t>体 检 指 标</w:t>
            </w:r>
          </w:p>
        </w:tc>
        <w:tc>
          <w:tcPr>
            <w:tcW w:w="667" w:type="dxa"/>
            <w:tcBorders>
              <w:top w:val="single" w:color="auto" w:sz="4" w:space="0"/>
              <w:right w:val="single" w:color="auto" w:sz="4" w:space="0"/>
            </w:tcBorders>
            <w:vAlign w:val="center"/>
          </w:tcPr>
          <w:p w14:paraId="2DB89298">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维度</w:t>
            </w:r>
          </w:p>
        </w:tc>
        <w:tc>
          <w:tcPr>
            <w:tcW w:w="670" w:type="dxa"/>
            <w:tcBorders>
              <w:left w:val="single" w:color="auto" w:sz="4" w:space="0"/>
            </w:tcBorders>
            <w:vAlign w:val="center"/>
          </w:tcPr>
          <w:p w14:paraId="71E3FB7A">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序号</w:t>
            </w:r>
          </w:p>
        </w:tc>
        <w:tc>
          <w:tcPr>
            <w:tcW w:w="808" w:type="dxa"/>
            <w:gridSpan w:val="2"/>
            <w:vAlign w:val="center"/>
          </w:tcPr>
          <w:p w14:paraId="460C7A64">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指标项</w:t>
            </w:r>
          </w:p>
        </w:tc>
        <w:tc>
          <w:tcPr>
            <w:tcW w:w="7554" w:type="dxa"/>
            <w:gridSpan w:val="8"/>
            <w:vAlign w:val="center"/>
          </w:tcPr>
          <w:p w14:paraId="0FA09B6E">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设施填报</w:t>
            </w:r>
          </w:p>
        </w:tc>
      </w:tr>
      <w:tr w14:paraId="31FEA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485" w:type="dxa"/>
            <w:vMerge w:val="continue"/>
            <w:tcBorders>
              <w:left w:val="single" w:color="auto" w:sz="4" w:space="0"/>
            </w:tcBorders>
            <w:textDirection w:val="tbRlV"/>
          </w:tcPr>
          <w:p w14:paraId="23BD0B92">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restart"/>
            <w:tcBorders>
              <w:right w:val="single" w:color="auto" w:sz="4" w:space="0"/>
            </w:tcBorders>
          </w:tcPr>
          <w:p w14:paraId="1F298C60">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p w14:paraId="55DC6132">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p w14:paraId="5E4F14E1">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p w14:paraId="4A48124F">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p w14:paraId="2028C71F">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p w14:paraId="3E2C7930">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p w14:paraId="7C5CACEE">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p w14:paraId="35DB1B11">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p w14:paraId="245936C1">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p w14:paraId="46343419">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p w14:paraId="0CFB9310">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p w14:paraId="3D480BC4">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p w14:paraId="1F194028">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p w14:paraId="7DF572E7">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p w14:paraId="16009DC3">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p w14:paraId="75248C11">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设施</w:t>
            </w:r>
          </w:p>
          <w:p w14:paraId="002C5B3A">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完善</w:t>
            </w:r>
          </w:p>
        </w:tc>
        <w:tc>
          <w:tcPr>
            <w:tcW w:w="670" w:type="dxa"/>
            <w:vMerge w:val="restart"/>
            <w:tcBorders>
              <w:left w:val="single" w:color="auto" w:sz="4" w:space="0"/>
              <w:bottom w:val="nil"/>
            </w:tcBorders>
            <w:vAlign w:val="center"/>
          </w:tcPr>
          <w:p w14:paraId="1BADDBC4">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1</w:t>
            </w:r>
          </w:p>
        </w:tc>
        <w:tc>
          <w:tcPr>
            <w:tcW w:w="808" w:type="dxa"/>
            <w:gridSpan w:val="2"/>
            <w:vMerge w:val="restart"/>
            <w:tcBorders>
              <w:bottom w:val="nil"/>
            </w:tcBorders>
            <w:vAlign w:val="center"/>
          </w:tcPr>
          <w:p w14:paraId="052D426C">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中学</w:t>
            </w:r>
          </w:p>
        </w:tc>
        <w:tc>
          <w:tcPr>
            <w:tcW w:w="836" w:type="dxa"/>
            <w:vAlign w:val="center"/>
          </w:tcPr>
          <w:p w14:paraId="6AF6F62D">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名称</w:t>
            </w:r>
          </w:p>
        </w:tc>
        <w:tc>
          <w:tcPr>
            <w:tcW w:w="754" w:type="dxa"/>
            <w:vAlign w:val="center"/>
          </w:tcPr>
          <w:p w14:paraId="55FCF921">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地址</w:t>
            </w:r>
          </w:p>
        </w:tc>
        <w:tc>
          <w:tcPr>
            <w:tcW w:w="5964" w:type="dxa"/>
            <w:gridSpan w:val="6"/>
            <w:vAlign w:val="center"/>
          </w:tcPr>
          <w:p w14:paraId="3EF39FBF">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学位数（个）</w:t>
            </w:r>
          </w:p>
        </w:tc>
      </w:tr>
      <w:tr w14:paraId="278A8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485" w:type="dxa"/>
            <w:vMerge w:val="continue"/>
            <w:tcBorders>
              <w:left w:val="single" w:color="auto" w:sz="4" w:space="0"/>
            </w:tcBorders>
            <w:textDirection w:val="tbRlV"/>
          </w:tcPr>
          <w:p w14:paraId="0AB5B297">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Borders>
              <w:right w:val="single" w:color="auto" w:sz="4" w:space="0"/>
            </w:tcBorders>
          </w:tcPr>
          <w:p w14:paraId="59FAB02E">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670" w:type="dxa"/>
            <w:vMerge w:val="continue"/>
            <w:tcBorders>
              <w:top w:val="nil"/>
              <w:left w:val="single" w:color="auto" w:sz="4" w:space="0"/>
              <w:bottom w:val="nil"/>
            </w:tcBorders>
            <w:vAlign w:val="center"/>
          </w:tcPr>
          <w:p w14:paraId="201204AF">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tc>
        <w:tc>
          <w:tcPr>
            <w:tcW w:w="808" w:type="dxa"/>
            <w:gridSpan w:val="2"/>
            <w:vMerge w:val="continue"/>
            <w:tcBorders>
              <w:top w:val="nil"/>
              <w:bottom w:val="nil"/>
            </w:tcBorders>
            <w:vAlign w:val="center"/>
          </w:tcPr>
          <w:p w14:paraId="0E2FE6E9">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tc>
        <w:tc>
          <w:tcPr>
            <w:tcW w:w="836" w:type="dxa"/>
          </w:tcPr>
          <w:p w14:paraId="0D8BBA0A">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754" w:type="dxa"/>
          </w:tcPr>
          <w:p w14:paraId="146ADE21">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5964" w:type="dxa"/>
            <w:gridSpan w:val="6"/>
          </w:tcPr>
          <w:p w14:paraId="76794821">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r>
      <w:tr w14:paraId="7DD5D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jc w:val="center"/>
        </w:trPr>
        <w:tc>
          <w:tcPr>
            <w:tcW w:w="485" w:type="dxa"/>
            <w:vMerge w:val="continue"/>
            <w:tcBorders>
              <w:left w:val="single" w:color="auto" w:sz="4" w:space="0"/>
            </w:tcBorders>
            <w:textDirection w:val="tbRlV"/>
          </w:tcPr>
          <w:p w14:paraId="752C5A3A">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Borders>
              <w:right w:val="single" w:color="auto" w:sz="4" w:space="0"/>
            </w:tcBorders>
          </w:tcPr>
          <w:p w14:paraId="37D3A269">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670" w:type="dxa"/>
            <w:vMerge w:val="continue"/>
            <w:tcBorders>
              <w:top w:val="nil"/>
              <w:left w:val="single" w:color="auto" w:sz="4" w:space="0"/>
              <w:bottom w:val="nil"/>
            </w:tcBorders>
            <w:vAlign w:val="center"/>
          </w:tcPr>
          <w:p w14:paraId="4488481E">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tc>
        <w:tc>
          <w:tcPr>
            <w:tcW w:w="808" w:type="dxa"/>
            <w:gridSpan w:val="2"/>
            <w:vMerge w:val="continue"/>
            <w:tcBorders>
              <w:top w:val="nil"/>
              <w:bottom w:val="nil"/>
            </w:tcBorders>
            <w:vAlign w:val="center"/>
          </w:tcPr>
          <w:p w14:paraId="3B620E2C">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tc>
        <w:tc>
          <w:tcPr>
            <w:tcW w:w="836" w:type="dxa"/>
          </w:tcPr>
          <w:p w14:paraId="248EC8AA">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754" w:type="dxa"/>
          </w:tcPr>
          <w:p w14:paraId="7C5A02F7">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5964" w:type="dxa"/>
            <w:gridSpan w:val="6"/>
          </w:tcPr>
          <w:p w14:paraId="627E5451">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r>
      <w:tr w14:paraId="088211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jc w:val="center"/>
        </w:trPr>
        <w:tc>
          <w:tcPr>
            <w:tcW w:w="485" w:type="dxa"/>
            <w:vMerge w:val="continue"/>
            <w:tcBorders>
              <w:left w:val="single" w:color="auto" w:sz="4" w:space="0"/>
            </w:tcBorders>
            <w:textDirection w:val="tbRlV"/>
          </w:tcPr>
          <w:p w14:paraId="62B1224A">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Borders>
              <w:right w:val="single" w:color="auto" w:sz="4" w:space="0"/>
            </w:tcBorders>
          </w:tcPr>
          <w:p w14:paraId="6865C390">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670" w:type="dxa"/>
            <w:vMerge w:val="continue"/>
            <w:tcBorders>
              <w:top w:val="nil"/>
              <w:left w:val="single" w:color="auto" w:sz="4" w:space="0"/>
            </w:tcBorders>
            <w:vAlign w:val="center"/>
          </w:tcPr>
          <w:p w14:paraId="5EB742B6">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tc>
        <w:tc>
          <w:tcPr>
            <w:tcW w:w="808" w:type="dxa"/>
            <w:gridSpan w:val="2"/>
            <w:vMerge w:val="continue"/>
            <w:tcBorders>
              <w:top w:val="nil"/>
            </w:tcBorders>
            <w:vAlign w:val="center"/>
          </w:tcPr>
          <w:p w14:paraId="1EA1BB33">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tc>
        <w:tc>
          <w:tcPr>
            <w:tcW w:w="836" w:type="dxa"/>
          </w:tcPr>
          <w:p w14:paraId="10A8DC22">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754" w:type="dxa"/>
          </w:tcPr>
          <w:p w14:paraId="559284C8">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5964" w:type="dxa"/>
            <w:gridSpan w:val="6"/>
          </w:tcPr>
          <w:p w14:paraId="335A4DF7">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r>
      <w:tr w14:paraId="01FFE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0" w:hRule="atLeast"/>
          <w:jc w:val="center"/>
        </w:trPr>
        <w:tc>
          <w:tcPr>
            <w:tcW w:w="485" w:type="dxa"/>
            <w:vMerge w:val="continue"/>
            <w:tcBorders>
              <w:left w:val="single" w:color="auto" w:sz="4" w:space="0"/>
            </w:tcBorders>
            <w:textDirection w:val="tbRlV"/>
          </w:tcPr>
          <w:p w14:paraId="4C7D8292">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Borders>
              <w:right w:val="single" w:color="auto" w:sz="4" w:space="0"/>
            </w:tcBorders>
          </w:tcPr>
          <w:p w14:paraId="7D7574E9">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670" w:type="dxa"/>
            <w:vMerge w:val="restart"/>
            <w:tcBorders>
              <w:left w:val="single" w:color="auto" w:sz="4" w:space="0"/>
              <w:bottom w:val="nil"/>
            </w:tcBorders>
            <w:vAlign w:val="center"/>
          </w:tcPr>
          <w:p w14:paraId="0902B8F2">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2</w:t>
            </w:r>
          </w:p>
        </w:tc>
        <w:tc>
          <w:tcPr>
            <w:tcW w:w="808" w:type="dxa"/>
            <w:gridSpan w:val="2"/>
            <w:vMerge w:val="restart"/>
            <w:tcBorders>
              <w:bottom w:val="nil"/>
            </w:tcBorders>
            <w:vAlign w:val="center"/>
          </w:tcPr>
          <w:p w14:paraId="2D21934D">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多功能</w:t>
            </w:r>
          </w:p>
          <w:p w14:paraId="2935947B">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运动场</w:t>
            </w:r>
          </w:p>
          <w:p w14:paraId="3A13D0AD">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地</w:t>
            </w:r>
          </w:p>
        </w:tc>
        <w:tc>
          <w:tcPr>
            <w:tcW w:w="836" w:type="dxa"/>
            <w:vAlign w:val="center"/>
          </w:tcPr>
          <w:p w14:paraId="539E64AF">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p w14:paraId="622AF0A4">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名称</w:t>
            </w:r>
          </w:p>
        </w:tc>
        <w:tc>
          <w:tcPr>
            <w:tcW w:w="754" w:type="dxa"/>
            <w:vAlign w:val="center"/>
          </w:tcPr>
          <w:p w14:paraId="2F41BEEB">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p w14:paraId="50E77F48">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地址</w:t>
            </w:r>
          </w:p>
        </w:tc>
        <w:tc>
          <w:tcPr>
            <w:tcW w:w="1065" w:type="dxa"/>
            <w:gridSpan w:val="2"/>
            <w:vAlign w:val="center"/>
          </w:tcPr>
          <w:p w14:paraId="351B6D2F">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占地面积</w:t>
            </w:r>
          </w:p>
          <w:p w14:paraId="525102C2">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eastAsia" w:ascii="Times New Roman" w:hAnsi="Times New Roman" w:eastAsia="仿宋_GB2312" w:cs="Times New Roman"/>
                <w:spacing w:val="9"/>
                <w:sz w:val="19"/>
                <w:szCs w:val="19"/>
                <w:lang w:eastAsia="zh-CN"/>
              </w:rPr>
            </w:pPr>
            <w:r>
              <w:rPr>
                <w:rFonts w:hint="eastAsia" w:ascii="Times New Roman" w:hAnsi="Times New Roman" w:eastAsia="仿宋_GB2312" w:cs="Times New Roman"/>
                <w:spacing w:val="9"/>
                <w:sz w:val="19"/>
                <w:szCs w:val="19"/>
                <w:lang w:eastAsia="zh-CN"/>
              </w:rPr>
              <w:t>（</w:t>
            </w:r>
            <w:r>
              <w:rPr>
                <w:rFonts w:hint="default" w:ascii="Times New Roman" w:hAnsi="Times New Roman" w:eastAsia="仿宋_GB2312" w:cs="Times New Roman"/>
                <w:spacing w:val="9"/>
                <w:sz w:val="19"/>
                <w:szCs w:val="19"/>
              </w:rPr>
              <w:t>㎡</w:t>
            </w:r>
            <w:r>
              <w:rPr>
                <w:rFonts w:hint="eastAsia" w:ascii="Times New Roman" w:hAnsi="Times New Roman" w:eastAsia="仿宋_GB2312" w:cs="Times New Roman"/>
                <w:spacing w:val="9"/>
                <w:sz w:val="19"/>
                <w:szCs w:val="19"/>
                <w:lang w:eastAsia="zh-CN"/>
              </w:rPr>
              <w:t>）</w:t>
            </w:r>
          </w:p>
        </w:tc>
        <w:tc>
          <w:tcPr>
            <w:tcW w:w="821" w:type="dxa"/>
            <w:vAlign w:val="center"/>
          </w:tcPr>
          <w:p w14:paraId="4B6F179E">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lang w:val="en-US" w:eastAsia="zh-CN"/>
              </w:rPr>
            </w:pPr>
            <w:r>
              <w:rPr>
                <w:rFonts w:hint="default" w:ascii="Times New Roman" w:hAnsi="Times New Roman" w:eastAsia="仿宋_GB2312" w:cs="Times New Roman"/>
                <w:spacing w:val="9"/>
                <w:sz w:val="19"/>
                <w:szCs w:val="19"/>
                <w:lang w:val="en-US" w:eastAsia="zh-CN"/>
              </w:rPr>
              <w:t>建筑</w:t>
            </w:r>
          </w:p>
          <w:p w14:paraId="491C6772">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lang w:val="en-US" w:eastAsia="zh-CN"/>
              </w:rPr>
            </w:pPr>
            <w:r>
              <w:rPr>
                <w:rFonts w:hint="default" w:ascii="Times New Roman" w:hAnsi="Times New Roman" w:eastAsia="仿宋_GB2312" w:cs="Times New Roman"/>
                <w:spacing w:val="9"/>
                <w:sz w:val="19"/>
                <w:szCs w:val="19"/>
                <w:lang w:val="en-US" w:eastAsia="zh-CN"/>
              </w:rPr>
              <w:t>面积</w:t>
            </w:r>
          </w:p>
          <w:p w14:paraId="5E25972E">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eastAsia" w:ascii="Times New Roman" w:hAnsi="Times New Roman" w:eastAsia="仿宋_GB2312" w:cs="Times New Roman"/>
                <w:spacing w:val="9"/>
                <w:sz w:val="19"/>
                <w:szCs w:val="19"/>
                <w:lang w:eastAsia="zh-CN"/>
              </w:rPr>
            </w:pPr>
            <w:r>
              <w:rPr>
                <w:rFonts w:hint="eastAsia" w:ascii="Times New Roman" w:hAnsi="Times New Roman" w:eastAsia="仿宋_GB2312" w:cs="Times New Roman"/>
                <w:spacing w:val="9"/>
                <w:sz w:val="19"/>
                <w:szCs w:val="19"/>
                <w:lang w:eastAsia="zh-CN"/>
              </w:rPr>
              <w:t>（</w:t>
            </w:r>
            <w:r>
              <w:rPr>
                <w:rFonts w:hint="default" w:ascii="Times New Roman" w:hAnsi="Times New Roman" w:eastAsia="仿宋_GB2312" w:cs="Times New Roman"/>
                <w:spacing w:val="9"/>
                <w:sz w:val="19"/>
                <w:szCs w:val="19"/>
              </w:rPr>
              <w:t>㎡</w:t>
            </w:r>
            <w:r>
              <w:rPr>
                <w:rFonts w:hint="eastAsia" w:ascii="Times New Roman" w:hAnsi="Times New Roman" w:eastAsia="仿宋_GB2312" w:cs="Times New Roman"/>
                <w:spacing w:val="9"/>
                <w:sz w:val="19"/>
                <w:szCs w:val="19"/>
                <w:lang w:eastAsia="zh-CN"/>
              </w:rPr>
              <w:t>）</w:t>
            </w:r>
          </w:p>
        </w:tc>
        <w:tc>
          <w:tcPr>
            <w:tcW w:w="2194" w:type="dxa"/>
            <w:tcBorders>
              <w:right w:val="single" w:color="auto" w:sz="4" w:space="0"/>
            </w:tcBorders>
            <w:vAlign w:val="center"/>
          </w:tcPr>
          <w:p w14:paraId="4563E69C">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设施配置（可多选）</w:t>
            </w:r>
          </w:p>
          <w:p w14:paraId="63CDE41E">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1 足球 2 篮球</w:t>
            </w:r>
          </w:p>
          <w:p w14:paraId="20F5B9F8">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3 排球 4 其他__</w:t>
            </w:r>
          </w:p>
        </w:tc>
        <w:tc>
          <w:tcPr>
            <w:tcW w:w="1884" w:type="dxa"/>
            <w:gridSpan w:val="2"/>
            <w:tcBorders>
              <w:top w:val="single" w:color="auto" w:sz="4" w:space="0"/>
              <w:left w:val="single" w:color="auto" w:sz="4" w:space="0"/>
              <w:bottom w:val="single" w:color="auto" w:sz="4" w:space="0"/>
              <w:right w:val="single" w:color="auto" w:sz="4" w:space="0"/>
            </w:tcBorders>
            <w:vAlign w:val="center"/>
          </w:tcPr>
          <w:p w14:paraId="048D30AD">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是否公众开放：</w:t>
            </w:r>
          </w:p>
          <w:p w14:paraId="319059D4">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1 开放</w:t>
            </w:r>
          </w:p>
          <w:p w14:paraId="11357C38">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2 不开放</w:t>
            </w:r>
          </w:p>
        </w:tc>
      </w:tr>
      <w:tr w14:paraId="0E4041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jc w:val="center"/>
        </w:trPr>
        <w:tc>
          <w:tcPr>
            <w:tcW w:w="485" w:type="dxa"/>
            <w:vMerge w:val="continue"/>
            <w:tcBorders>
              <w:left w:val="single" w:color="auto" w:sz="4" w:space="0"/>
            </w:tcBorders>
            <w:textDirection w:val="tbRlV"/>
          </w:tcPr>
          <w:p w14:paraId="72A242CF">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Borders>
              <w:right w:val="single" w:color="auto" w:sz="4" w:space="0"/>
            </w:tcBorders>
          </w:tcPr>
          <w:p w14:paraId="601160A5">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670" w:type="dxa"/>
            <w:vMerge w:val="continue"/>
            <w:tcBorders>
              <w:top w:val="nil"/>
              <w:left w:val="single" w:color="auto" w:sz="4" w:space="0"/>
              <w:bottom w:val="nil"/>
            </w:tcBorders>
            <w:vAlign w:val="center"/>
          </w:tcPr>
          <w:p w14:paraId="653E7174">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tc>
        <w:tc>
          <w:tcPr>
            <w:tcW w:w="808" w:type="dxa"/>
            <w:gridSpan w:val="2"/>
            <w:vMerge w:val="continue"/>
            <w:tcBorders>
              <w:top w:val="nil"/>
              <w:bottom w:val="nil"/>
            </w:tcBorders>
            <w:vAlign w:val="center"/>
          </w:tcPr>
          <w:p w14:paraId="1F00E37C">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tc>
        <w:tc>
          <w:tcPr>
            <w:tcW w:w="836" w:type="dxa"/>
          </w:tcPr>
          <w:p w14:paraId="7157F4F3">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754" w:type="dxa"/>
          </w:tcPr>
          <w:p w14:paraId="772B1641">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1065" w:type="dxa"/>
            <w:gridSpan w:val="2"/>
          </w:tcPr>
          <w:p w14:paraId="7A86A524">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821" w:type="dxa"/>
          </w:tcPr>
          <w:p w14:paraId="62B704BE">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2194" w:type="dxa"/>
            <w:tcBorders>
              <w:right w:val="single" w:color="auto" w:sz="4" w:space="0"/>
            </w:tcBorders>
            <w:vAlign w:val="center"/>
          </w:tcPr>
          <w:p w14:paraId="28229C07">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p>
        </w:tc>
        <w:tc>
          <w:tcPr>
            <w:tcW w:w="1884" w:type="dxa"/>
            <w:gridSpan w:val="2"/>
            <w:tcBorders>
              <w:top w:val="single" w:color="auto" w:sz="4" w:space="0"/>
              <w:left w:val="single" w:color="auto" w:sz="4" w:space="0"/>
              <w:bottom w:val="single" w:color="auto" w:sz="4" w:space="0"/>
              <w:right w:val="single" w:color="auto" w:sz="4" w:space="0"/>
            </w:tcBorders>
            <w:vAlign w:val="center"/>
          </w:tcPr>
          <w:p w14:paraId="16053453">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p>
        </w:tc>
      </w:tr>
      <w:tr w14:paraId="4D657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jc w:val="center"/>
        </w:trPr>
        <w:tc>
          <w:tcPr>
            <w:tcW w:w="485" w:type="dxa"/>
            <w:vMerge w:val="continue"/>
            <w:tcBorders>
              <w:left w:val="single" w:color="auto" w:sz="4" w:space="0"/>
            </w:tcBorders>
            <w:textDirection w:val="tbRlV"/>
          </w:tcPr>
          <w:p w14:paraId="60D7AA87">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Borders>
              <w:right w:val="single" w:color="auto" w:sz="4" w:space="0"/>
            </w:tcBorders>
          </w:tcPr>
          <w:p w14:paraId="4EB7F09D">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670" w:type="dxa"/>
            <w:vMerge w:val="continue"/>
            <w:tcBorders>
              <w:top w:val="nil"/>
              <w:left w:val="single" w:color="auto" w:sz="4" w:space="0"/>
              <w:bottom w:val="nil"/>
            </w:tcBorders>
            <w:vAlign w:val="center"/>
          </w:tcPr>
          <w:p w14:paraId="2ED72CEF">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tc>
        <w:tc>
          <w:tcPr>
            <w:tcW w:w="808" w:type="dxa"/>
            <w:gridSpan w:val="2"/>
            <w:vMerge w:val="continue"/>
            <w:tcBorders>
              <w:top w:val="nil"/>
              <w:bottom w:val="nil"/>
            </w:tcBorders>
            <w:vAlign w:val="center"/>
          </w:tcPr>
          <w:p w14:paraId="0776EE22">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tc>
        <w:tc>
          <w:tcPr>
            <w:tcW w:w="836" w:type="dxa"/>
          </w:tcPr>
          <w:p w14:paraId="7552D72C">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754" w:type="dxa"/>
          </w:tcPr>
          <w:p w14:paraId="0539E740">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1065" w:type="dxa"/>
            <w:gridSpan w:val="2"/>
          </w:tcPr>
          <w:p w14:paraId="2D1CF82F">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821" w:type="dxa"/>
          </w:tcPr>
          <w:p w14:paraId="05AB06A1">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2194" w:type="dxa"/>
            <w:tcBorders>
              <w:right w:val="single" w:color="auto" w:sz="4" w:space="0"/>
            </w:tcBorders>
            <w:vAlign w:val="center"/>
          </w:tcPr>
          <w:p w14:paraId="007EC338">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p>
        </w:tc>
        <w:tc>
          <w:tcPr>
            <w:tcW w:w="1884" w:type="dxa"/>
            <w:gridSpan w:val="2"/>
            <w:tcBorders>
              <w:top w:val="single" w:color="auto" w:sz="4" w:space="0"/>
              <w:left w:val="single" w:color="auto" w:sz="4" w:space="0"/>
              <w:bottom w:val="single" w:color="auto" w:sz="4" w:space="0"/>
              <w:right w:val="single" w:color="auto" w:sz="4" w:space="0"/>
            </w:tcBorders>
            <w:vAlign w:val="center"/>
          </w:tcPr>
          <w:p w14:paraId="297901FE">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p>
        </w:tc>
      </w:tr>
      <w:tr w14:paraId="375D36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jc w:val="center"/>
        </w:trPr>
        <w:tc>
          <w:tcPr>
            <w:tcW w:w="485" w:type="dxa"/>
            <w:vMerge w:val="continue"/>
            <w:tcBorders>
              <w:left w:val="single" w:color="auto" w:sz="4" w:space="0"/>
            </w:tcBorders>
            <w:textDirection w:val="tbRlV"/>
          </w:tcPr>
          <w:p w14:paraId="7BE7864E">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Borders>
              <w:right w:val="single" w:color="auto" w:sz="4" w:space="0"/>
            </w:tcBorders>
          </w:tcPr>
          <w:p w14:paraId="24AC7BFB">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670" w:type="dxa"/>
            <w:vMerge w:val="continue"/>
            <w:tcBorders>
              <w:top w:val="nil"/>
              <w:left w:val="single" w:color="auto" w:sz="4" w:space="0"/>
              <w:bottom w:val="single" w:color="auto" w:sz="4" w:space="0"/>
            </w:tcBorders>
            <w:vAlign w:val="center"/>
          </w:tcPr>
          <w:p w14:paraId="09243289">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tc>
        <w:tc>
          <w:tcPr>
            <w:tcW w:w="808" w:type="dxa"/>
            <w:gridSpan w:val="2"/>
            <w:vMerge w:val="continue"/>
            <w:tcBorders>
              <w:top w:val="nil"/>
              <w:bottom w:val="single" w:color="auto" w:sz="4" w:space="0"/>
            </w:tcBorders>
            <w:vAlign w:val="center"/>
          </w:tcPr>
          <w:p w14:paraId="701AAC7D">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tc>
        <w:tc>
          <w:tcPr>
            <w:tcW w:w="836" w:type="dxa"/>
          </w:tcPr>
          <w:p w14:paraId="19CD7F62">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754" w:type="dxa"/>
          </w:tcPr>
          <w:p w14:paraId="0C47012C">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1065" w:type="dxa"/>
            <w:gridSpan w:val="2"/>
          </w:tcPr>
          <w:p w14:paraId="7E7CD518">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821" w:type="dxa"/>
          </w:tcPr>
          <w:p w14:paraId="0D17997F">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2194" w:type="dxa"/>
            <w:tcBorders>
              <w:right w:val="single" w:color="auto" w:sz="4" w:space="0"/>
            </w:tcBorders>
            <w:vAlign w:val="center"/>
          </w:tcPr>
          <w:p w14:paraId="5031BBBF">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p>
        </w:tc>
        <w:tc>
          <w:tcPr>
            <w:tcW w:w="1884" w:type="dxa"/>
            <w:gridSpan w:val="2"/>
            <w:tcBorders>
              <w:top w:val="single" w:color="auto" w:sz="4" w:space="0"/>
              <w:left w:val="single" w:color="auto" w:sz="4" w:space="0"/>
              <w:bottom w:val="single" w:color="auto" w:sz="4" w:space="0"/>
              <w:right w:val="single" w:color="auto" w:sz="4" w:space="0"/>
            </w:tcBorders>
            <w:vAlign w:val="center"/>
          </w:tcPr>
          <w:p w14:paraId="1A1B5034">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p>
        </w:tc>
      </w:tr>
      <w:tr w14:paraId="47AE7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5" w:hRule="atLeast"/>
          <w:jc w:val="center"/>
        </w:trPr>
        <w:tc>
          <w:tcPr>
            <w:tcW w:w="485" w:type="dxa"/>
            <w:vMerge w:val="continue"/>
            <w:tcBorders>
              <w:left w:val="single" w:color="auto" w:sz="4" w:space="0"/>
            </w:tcBorders>
            <w:textDirection w:val="tbRlV"/>
          </w:tcPr>
          <w:p w14:paraId="3BBC07B9">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Borders>
              <w:right w:val="single" w:color="auto" w:sz="4" w:space="0"/>
            </w:tcBorders>
          </w:tcPr>
          <w:p w14:paraId="7530C429">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670" w:type="dxa"/>
            <w:vMerge w:val="restart"/>
            <w:tcBorders>
              <w:top w:val="single" w:color="auto" w:sz="4" w:space="0"/>
              <w:left w:val="single" w:color="auto" w:sz="4" w:space="0"/>
            </w:tcBorders>
            <w:vAlign w:val="center"/>
          </w:tcPr>
          <w:p w14:paraId="7ABBEF8F">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3</w:t>
            </w:r>
          </w:p>
        </w:tc>
        <w:tc>
          <w:tcPr>
            <w:tcW w:w="808" w:type="dxa"/>
            <w:gridSpan w:val="2"/>
            <w:vMerge w:val="restart"/>
            <w:tcBorders>
              <w:top w:val="single" w:color="auto" w:sz="4" w:space="0"/>
              <w:right w:val="single" w:color="auto" w:sz="4" w:space="0"/>
            </w:tcBorders>
            <w:vAlign w:val="center"/>
          </w:tcPr>
          <w:p w14:paraId="42D1F833">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文化活 动中心</w:t>
            </w:r>
          </w:p>
        </w:tc>
        <w:tc>
          <w:tcPr>
            <w:tcW w:w="836" w:type="dxa"/>
            <w:tcBorders>
              <w:left w:val="single" w:color="auto" w:sz="4" w:space="0"/>
            </w:tcBorders>
            <w:vAlign w:val="center"/>
          </w:tcPr>
          <w:p w14:paraId="08B0A434">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p w14:paraId="7E494D4C">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p w14:paraId="0AE61EF9">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名称</w:t>
            </w:r>
          </w:p>
        </w:tc>
        <w:tc>
          <w:tcPr>
            <w:tcW w:w="754" w:type="dxa"/>
            <w:vAlign w:val="center"/>
          </w:tcPr>
          <w:p w14:paraId="62D7C20F">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p w14:paraId="03A50471">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p w14:paraId="7BF0C850">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地址</w:t>
            </w:r>
          </w:p>
        </w:tc>
        <w:tc>
          <w:tcPr>
            <w:tcW w:w="1065" w:type="dxa"/>
            <w:gridSpan w:val="2"/>
            <w:vAlign w:val="center"/>
          </w:tcPr>
          <w:p w14:paraId="4AC3FD92">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p w14:paraId="6837C453">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占地面 积    （㎡）</w:t>
            </w:r>
          </w:p>
        </w:tc>
        <w:tc>
          <w:tcPr>
            <w:tcW w:w="821" w:type="dxa"/>
            <w:vAlign w:val="center"/>
          </w:tcPr>
          <w:p w14:paraId="184623C1">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p w14:paraId="6165657D">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建筑</w:t>
            </w:r>
          </w:p>
          <w:p w14:paraId="4D5BEFC0">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eastAsia" w:ascii="Times New Roman" w:hAnsi="Times New Roman" w:eastAsia="仿宋_GB2312" w:cs="Times New Roman"/>
                <w:spacing w:val="9"/>
                <w:sz w:val="19"/>
                <w:szCs w:val="19"/>
                <w:lang w:eastAsia="zh-CN"/>
              </w:rPr>
            </w:pPr>
            <w:r>
              <w:rPr>
                <w:rFonts w:hint="default" w:ascii="Times New Roman" w:hAnsi="Times New Roman" w:eastAsia="仿宋_GB2312" w:cs="Times New Roman"/>
                <w:spacing w:val="9"/>
                <w:sz w:val="19"/>
                <w:szCs w:val="19"/>
              </w:rPr>
              <w:t xml:space="preserve">面积    </w:t>
            </w:r>
            <w:r>
              <w:rPr>
                <w:rFonts w:hint="eastAsia" w:ascii="Times New Roman" w:hAnsi="Times New Roman" w:eastAsia="仿宋_GB2312" w:cs="Times New Roman"/>
                <w:spacing w:val="9"/>
                <w:sz w:val="19"/>
                <w:szCs w:val="19"/>
                <w:lang w:eastAsia="zh-CN"/>
              </w:rPr>
              <w:t>（</w:t>
            </w:r>
            <w:r>
              <w:rPr>
                <w:rFonts w:hint="default" w:ascii="Times New Roman" w:hAnsi="Times New Roman" w:eastAsia="仿宋_GB2312" w:cs="Times New Roman"/>
                <w:spacing w:val="9"/>
                <w:sz w:val="19"/>
                <w:szCs w:val="19"/>
              </w:rPr>
              <w:t>㎡</w:t>
            </w:r>
            <w:r>
              <w:rPr>
                <w:rFonts w:hint="eastAsia" w:ascii="Times New Roman" w:hAnsi="Times New Roman" w:eastAsia="仿宋_GB2312" w:cs="Times New Roman"/>
                <w:spacing w:val="9"/>
                <w:sz w:val="19"/>
                <w:szCs w:val="19"/>
                <w:lang w:eastAsia="zh-CN"/>
              </w:rPr>
              <w:t>）</w:t>
            </w:r>
          </w:p>
        </w:tc>
        <w:tc>
          <w:tcPr>
            <w:tcW w:w="2194" w:type="dxa"/>
            <w:tcBorders>
              <w:right w:val="single" w:color="auto" w:sz="4" w:space="0"/>
            </w:tcBorders>
            <w:vAlign w:val="center"/>
          </w:tcPr>
          <w:p w14:paraId="4BD28038">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设施配置（可多选）</w:t>
            </w:r>
          </w:p>
          <w:p w14:paraId="2237D84C">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1 青少年活动设施</w:t>
            </w:r>
          </w:p>
          <w:p w14:paraId="7B78D378">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2 老年活动设施</w:t>
            </w:r>
          </w:p>
          <w:p w14:paraId="3B45C97D">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3 儿童之家</w:t>
            </w:r>
          </w:p>
          <w:p w14:paraId="341D9D51">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4 其他______</w:t>
            </w:r>
          </w:p>
        </w:tc>
        <w:tc>
          <w:tcPr>
            <w:tcW w:w="1644" w:type="dxa"/>
            <w:tcBorders>
              <w:top w:val="single" w:color="auto" w:sz="4" w:space="0"/>
              <w:left w:val="single" w:color="auto" w:sz="4" w:space="0"/>
              <w:bottom w:val="single" w:color="auto" w:sz="4" w:space="0"/>
              <w:right w:val="nil"/>
            </w:tcBorders>
            <w:vAlign w:val="center"/>
          </w:tcPr>
          <w:p w14:paraId="5EB8967F">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是否公众开放：</w:t>
            </w:r>
          </w:p>
          <w:p w14:paraId="34A7F6C7">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1 开放</w:t>
            </w:r>
          </w:p>
          <w:p w14:paraId="648ACBAB">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2 不开放</w:t>
            </w:r>
          </w:p>
        </w:tc>
        <w:tc>
          <w:tcPr>
            <w:tcW w:w="240" w:type="dxa"/>
            <w:tcBorders>
              <w:top w:val="single" w:color="auto" w:sz="4" w:space="0"/>
              <w:left w:val="nil"/>
              <w:bottom w:val="single" w:color="auto" w:sz="4" w:space="0"/>
              <w:right w:val="single" w:color="auto" w:sz="4" w:space="0"/>
            </w:tcBorders>
          </w:tcPr>
          <w:p w14:paraId="03B767F3">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r>
      <w:tr w14:paraId="31A44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jc w:val="center"/>
        </w:trPr>
        <w:tc>
          <w:tcPr>
            <w:tcW w:w="485" w:type="dxa"/>
            <w:vMerge w:val="continue"/>
            <w:tcBorders>
              <w:left w:val="single" w:color="auto" w:sz="4" w:space="0"/>
            </w:tcBorders>
            <w:textDirection w:val="tbRlV"/>
          </w:tcPr>
          <w:p w14:paraId="5E953288">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Borders>
              <w:right w:val="single" w:color="auto" w:sz="4" w:space="0"/>
            </w:tcBorders>
          </w:tcPr>
          <w:p w14:paraId="2DFAFCB1">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670" w:type="dxa"/>
            <w:vMerge w:val="continue"/>
            <w:tcBorders>
              <w:left w:val="single" w:color="auto" w:sz="4" w:space="0"/>
            </w:tcBorders>
            <w:vAlign w:val="center"/>
          </w:tcPr>
          <w:p w14:paraId="5F5A120A">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tc>
        <w:tc>
          <w:tcPr>
            <w:tcW w:w="808" w:type="dxa"/>
            <w:gridSpan w:val="2"/>
            <w:vMerge w:val="continue"/>
            <w:tcBorders>
              <w:right w:val="single" w:color="auto" w:sz="4" w:space="0"/>
            </w:tcBorders>
            <w:vAlign w:val="center"/>
          </w:tcPr>
          <w:p w14:paraId="5FE41B6D">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tc>
        <w:tc>
          <w:tcPr>
            <w:tcW w:w="836" w:type="dxa"/>
            <w:tcBorders>
              <w:left w:val="single" w:color="auto" w:sz="4" w:space="0"/>
            </w:tcBorders>
          </w:tcPr>
          <w:p w14:paraId="222830D8">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754" w:type="dxa"/>
          </w:tcPr>
          <w:p w14:paraId="0BD71555">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1065" w:type="dxa"/>
            <w:gridSpan w:val="2"/>
          </w:tcPr>
          <w:p w14:paraId="1BBE42F4">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821" w:type="dxa"/>
          </w:tcPr>
          <w:p w14:paraId="4BB6D8F5">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2194" w:type="dxa"/>
            <w:tcBorders>
              <w:right w:val="single" w:color="auto" w:sz="4" w:space="0"/>
            </w:tcBorders>
          </w:tcPr>
          <w:p w14:paraId="0B3C573E">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1644" w:type="dxa"/>
            <w:tcBorders>
              <w:top w:val="single" w:color="auto" w:sz="4" w:space="0"/>
              <w:left w:val="single" w:color="auto" w:sz="4" w:space="0"/>
              <w:bottom w:val="single" w:color="auto" w:sz="4" w:space="0"/>
              <w:right w:val="nil"/>
            </w:tcBorders>
          </w:tcPr>
          <w:p w14:paraId="48A952FF">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240" w:type="dxa"/>
            <w:tcBorders>
              <w:top w:val="single" w:color="auto" w:sz="4" w:space="0"/>
              <w:left w:val="nil"/>
              <w:bottom w:val="single" w:color="auto" w:sz="4" w:space="0"/>
              <w:right w:val="single" w:color="auto" w:sz="4" w:space="0"/>
            </w:tcBorders>
          </w:tcPr>
          <w:p w14:paraId="2281ACAB">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r>
      <w:tr w14:paraId="3CBB6F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jc w:val="center"/>
        </w:trPr>
        <w:tc>
          <w:tcPr>
            <w:tcW w:w="485" w:type="dxa"/>
            <w:vMerge w:val="continue"/>
            <w:tcBorders>
              <w:left w:val="single" w:color="auto" w:sz="4" w:space="0"/>
            </w:tcBorders>
            <w:textDirection w:val="tbRlV"/>
          </w:tcPr>
          <w:p w14:paraId="11C99914">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Borders>
              <w:right w:val="single" w:color="auto" w:sz="4" w:space="0"/>
            </w:tcBorders>
          </w:tcPr>
          <w:p w14:paraId="2A9C05F7">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670" w:type="dxa"/>
            <w:vMerge w:val="continue"/>
            <w:tcBorders>
              <w:left w:val="single" w:color="auto" w:sz="4" w:space="0"/>
            </w:tcBorders>
            <w:vAlign w:val="center"/>
          </w:tcPr>
          <w:p w14:paraId="67DF1154">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tc>
        <w:tc>
          <w:tcPr>
            <w:tcW w:w="808" w:type="dxa"/>
            <w:gridSpan w:val="2"/>
            <w:vMerge w:val="continue"/>
            <w:tcBorders>
              <w:right w:val="single" w:color="auto" w:sz="4" w:space="0"/>
            </w:tcBorders>
            <w:vAlign w:val="center"/>
          </w:tcPr>
          <w:p w14:paraId="2191D340">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tc>
        <w:tc>
          <w:tcPr>
            <w:tcW w:w="836" w:type="dxa"/>
            <w:tcBorders>
              <w:left w:val="single" w:color="auto" w:sz="4" w:space="0"/>
            </w:tcBorders>
          </w:tcPr>
          <w:p w14:paraId="3BC6577C">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754" w:type="dxa"/>
          </w:tcPr>
          <w:p w14:paraId="4A85636F">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1065" w:type="dxa"/>
            <w:gridSpan w:val="2"/>
          </w:tcPr>
          <w:p w14:paraId="00A470EF">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821" w:type="dxa"/>
          </w:tcPr>
          <w:p w14:paraId="2F59D5AC">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2194" w:type="dxa"/>
            <w:tcBorders>
              <w:right w:val="single" w:color="auto" w:sz="4" w:space="0"/>
            </w:tcBorders>
          </w:tcPr>
          <w:p w14:paraId="1F0E45DC">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1644" w:type="dxa"/>
            <w:tcBorders>
              <w:top w:val="single" w:color="auto" w:sz="4" w:space="0"/>
              <w:left w:val="single" w:color="auto" w:sz="4" w:space="0"/>
              <w:bottom w:val="single" w:color="auto" w:sz="4" w:space="0"/>
              <w:right w:val="nil"/>
            </w:tcBorders>
          </w:tcPr>
          <w:p w14:paraId="6659DAD0">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240" w:type="dxa"/>
            <w:tcBorders>
              <w:top w:val="single" w:color="auto" w:sz="4" w:space="0"/>
              <w:left w:val="nil"/>
              <w:bottom w:val="single" w:color="auto" w:sz="4" w:space="0"/>
              <w:right w:val="single" w:color="auto" w:sz="4" w:space="0"/>
            </w:tcBorders>
          </w:tcPr>
          <w:p w14:paraId="0F5E96B3">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r>
      <w:tr w14:paraId="519CF2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jc w:val="center"/>
        </w:trPr>
        <w:tc>
          <w:tcPr>
            <w:tcW w:w="485" w:type="dxa"/>
            <w:vMerge w:val="continue"/>
            <w:tcBorders>
              <w:left w:val="single" w:color="auto" w:sz="4" w:space="0"/>
            </w:tcBorders>
            <w:textDirection w:val="tbRlV"/>
          </w:tcPr>
          <w:p w14:paraId="03EAD249">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Borders>
              <w:right w:val="single" w:color="auto" w:sz="4" w:space="0"/>
            </w:tcBorders>
          </w:tcPr>
          <w:p w14:paraId="3CA10292">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670" w:type="dxa"/>
            <w:vMerge w:val="continue"/>
            <w:tcBorders>
              <w:left w:val="single" w:color="auto" w:sz="4" w:space="0"/>
              <w:bottom w:val="single" w:color="auto" w:sz="4" w:space="0"/>
            </w:tcBorders>
            <w:vAlign w:val="center"/>
          </w:tcPr>
          <w:p w14:paraId="58BD286E">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tc>
        <w:tc>
          <w:tcPr>
            <w:tcW w:w="808" w:type="dxa"/>
            <w:gridSpan w:val="2"/>
            <w:vMerge w:val="continue"/>
            <w:tcBorders>
              <w:bottom w:val="single" w:color="auto" w:sz="4" w:space="0"/>
              <w:right w:val="single" w:color="auto" w:sz="4" w:space="0"/>
            </w:tcBorders>
            <w:vAlign w:val="center"/>
          </w:tcPr>
          <w:p w14:paraId="0DF642C2">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tc>
        <w:tc>
          <w:tcPr>
            <w:tcW w:w="836" w:type="dxa"/>
            <w:tcBorders>
              <w:left w:val="single" w:color="auto" w:sz="4" w:space="0"/>
            </w:tcBorders>
          </w:tcPr>
          <w:p w14:paraId="4510D4A3">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754" w:type="dxa"/>
          </w:tcPr>
          <w:p w14:paraId="63C6F422">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1065" w:type="dxa"/>
            <w:gridSpan w:val="2"/>
          </w:tcPr>
          <w:p w14:paraId="338A308C">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821" w:type="dxa"/>
          </w:tcPr>
          <w:p w14:paraId="1296B018">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2194" w:type="dxa"/>
            <w:tcBorders>
              <w:right w:val="single" w:color="auto" w:sz="4" w:space="0"/>
            </w:tcBorders>
          </w:tcPr>
          <w:p w14:paraId="19E9398E">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1644" w:type="dxa"/>
            <w:tcBorders>
              <w:top w:val="single" w:color="auto" w:sz="4" w:space="0"/>
              <w:left w:val="single" w:color="auto" w:sz="4" w:space="0"/>
              <w:bottom w:val="single" w:color="auto" w:sz="4" w:space="0"/>
              <w:right w:val="nil"/>
            </w:tcBorders>
          </w:tcPr>
          <w:p w14:paraId="678570B1">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240" w:type="dxa"/>
            <w:tcBorders>
              <w:top w:val="single" w:color="auto" w:sz="4" w:space="0"/>
              <w:left w:val="nil"/>
              <w:bottom w:val="single" w:color="auto" w:sz="4" w:space="0"/>
              <w:right w:val="single" w:color="auto" w:sz="4" w:space="0"/>
            </w:tcBorders>
          </w:tcPr>
          <w:p w14:paraId="7A52C462">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r>
      <w:tr w14:paraId="609272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jc w:val="center"/>
        </w:trPr>
        <w:tc>
          <w:tcPr>
            <w:tcW w:w="485" w:type="dxa"/>
            <w:vMerge w:val="continue"/>
            <w:tcBorders>
              <w:left w:val="single" w:color="auto" w:sz="4" w:space="0"/>
            </w:tcBorders>
            <w:textDirection w:val="tbRlV"/>
          </w:tcPr>
          <w:p w14:paraId="15C609AE">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Borders>
              <w:right w:val="single" w:color="auto" w:sz="4" w:space="0"/>
            </w:tcBorders>
          </w:tcPr>
          <w:p w14:paraId="708918C2">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670" w:type="dxa"/>
            <w:vMerge w:val="restart"/>
            <w:tcBorders>
              <w:top w:val="single" w:color="auto" w:sz="4" w:space="0"/>
              <w:left w:val="single" w:color="auto" w:sz="4" w:space="0"/>
            </w:tcBorders>
            <w:vAlign w:val="center"/>
          </w:tcPr>
          <w:p w14:paraId="177F1327">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4</w:t>
            </w:r>
          </w:p>
        </w:tc>
        <w:tc>
          <w:tcPr>
            <w:tcW w:w="808" w:type="dxa"/>
            <w:gridSpan w:val="2"/>
            <w:vMerge w:val="restart"/>
            <w:tcBorders>
              <w:top w:val="single" w:color="auto" w:sz="4" w:space="0"/>
            </w:tcBorders>
            <w:vAlign w:val="center"/>
          </w:tcPr>
          <w:p w14:paraId="02ACC30C">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公园绿 化活动场地</w:t>
            </w:r>
          </w:p>
        </w:tc>
        <w:tc>
          <w:tcPr>
            <w:tcW w:w="836" w:type="dxa"/>
            <w:vAlign w:val="center"/>
          </w:tcPr>
          <w:p w14:paraId="74B91191">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名称</w:t>
            </w:r>
          </w:p>
        </w:tc>
        <w:tc>
          <w:tcPr>
            <w:tcW w:w="754" w:type="dxa"/>
            <w:vAlign w:val="center"/>
          </w:tcPr>
          <w:p w14:paraId="200292E0">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地址</w:t>
            </w:r>
          </w:p>
        </w:tc>
        <w:tc>
          <w:tcPr>
            <w:tcW w:w="1886" w:type="dxa"/>
            <w:gridSpan w:val="3"/>
            <w:vAlign w:val="center"/>
          </w:tcPr>
          <w:p w14:paraId="3B145F47">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占地面积（㎡）</w:t>
            </w:r>
          </w:p>
        </w:tc>
        <w:tc>
          <w:tcPr>
            <w:tcW w:w="4078" w:type="dxa"/>
            <w:gridSpan w:val="3"/>
            <w:vAlign w:val="center"/>
          </w:tcPr>
          <w:p w14:paraId="65FF6F25">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设施类型：</w:t>
            </w:r>
          </w:p>
          <w:p w14:paraId="50A21372">
            <w:pPr>
              <w:keepNext w:val="0"/>
              <w:keepLines w:val="0"/>
              <w:pageBreakBefore w:val="0"/>
              <w:widowControl w:val="0"/>
              <w:kinsoku/>
              <w:wordWrap/>
              <w:overflowPunct/>
              <w:topLinePunct w:val="0"/>
              <w:autoSpaceDE/>
              <w:autoSpaceDN/>
              <w:bidi w:val="0"/>
              <w:adjustRightInd/>
              <w:snapToGrid/>
              <w:spacing w:line="260" w:lineRule="exact"/>
              <w:ind w:left="117"/>
              <w:jc w:val="both"/>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1 公园绿地 2 绿化活动场地</w:t>
            </w:r>
          </w:p>
        </w:tc>
      </w:tr>
      <w:tr w14:paraId="0F6FC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jc w:val="center"/>
        </w:trPr>
        <w:tc>
          <w:tcPr>
            <w:tcW w:w="485" w:type="dxa"/>
            <w:vMerge w:val="continue"/>
            <w:tcBorders>
              <w:left w:val="single" w:color="auto" w:sz="4" w:space="0"/>
            </w:tcBorders>
          </w:tcPr>
          <w:p w14:paraId="0B7C5C3D">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Borders>
              <w:right w:val="single" w:color="auto" w:sz="4" w:space="0"/>
            </w:tcBorders>
          </w:tcPr>
          <w:p w14:paraId="70C5FF57">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670" w:type="dxa"/>
            <w:vMerge w:val="continue"/>
            <w:tcBorders>
              <w:left w:val="single" w:color="auto" w:sz="4" w:space="0"/>
            </w:tcBorders>
          </w:tcPr>
          <w:p w14:paraId="1DE442D5">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808" w:type="dxa"/>
            <w:gridSpan w:val="2"/>
            <w:vMerge w:val="continue"/>
          </w:tcPr>
          <w:p w14:paraId="7356465F">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836" w:type="dxa"/>
          </w:tcPr>
          <w:p w14:paraId="77C883EC">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754" w:type="dxa"/>
          </w:tcPr>
          <w:p w14:paraId="3FC2E0DB">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1886" w:type="dxa"/>
            <w:gridSpan w:val="3"/>
          </w:tcPr>
          <w:p w14:paraId="53FF2168">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4078" w:type="dxa"/>
            <w:gridSpan w:val="3"/>
          </w:tcPr>
          <w:p w14:paraId="6D5B5C64">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r>
      <w:tr w14:paraId="005014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jc w:val="center"/>
        </w:trPr>
        <w:tc>
          <w:tcPr>
            <w:tcW w:w="485" w:type="dxa"/>
            <w:vMerge w:val="continue"/>
            <w:tcBorders>
              <w:left w:val="single" w:color="auto" w:sz="4" w:space="0"/>
            </w:tcBorders>
          </w:tcPr>
          <w:p w14:paraId="4E72B0C8">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Borders>
              <w:right w:val="single" w:color="auto" w:sz="4" w:space="0"/>
            </w:tcBorders>
          </w:tcPr>
          <w:p w14:paraId="62E2CCC6">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670" w:type="dxa"/>
            <w:vMerge w:val="continue"/>
            <w:tcBorders>
              <w:left w:val="single" w:color="auto" w:sz="4" w:space="0"/>
            </w:tcBorders>
          </w:tcPr>
          <w:p w14:paraId="02DF3BD6">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808" w:type="dxa"/>
            <w:gridSpan w:val="2"/>
            <w:vMerge w:val="continue"/>
          </w:tcPr>
          <w:p w14:paraId="23320B60">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836" w:type="dxa"/>
          </w:tcPr>
          <w:p w14:paraId="3EAA4272">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754" w:type="dxa"/>
          </w:tcPr>
          <w:p w14:paraId="699F488A">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1886" w:type="dxa"/>
            <w:gridSpan w:val="3"/>
          </w:tcPr>
          <w:p w14:paraId="58FAC374">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4078" w:type="dxa"/>
            <w:gridSpan w:val="3"/>
          </w:tcPr>
          <w:p w14:paraId="40548B6D">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r>
      <w:tr w14:paraId="12E6C3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jc w:val="center"/>
        </w:trPr>
        <w:tc>
          <w:tcPr>
            <w:tcW w:w="485" w:type="dxa"/>
            <w:vMerge w:val="continue"/>
            <w:tcBorders>
              <w:left w:val="single" w:color="auto" w:sz="4" w:space="0"/>
            </w:tcBorders>
          </w:tcPr>
          <w:p w14:paraId="017084EB">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Borders>
              <w:bottom w:val="single" w:color="auto" w:sz="4" w:space="0"/>
              <w:right w:val="single" w:color="auto" w:sz="4" w:space="0"/>
            </w:tcBorders>
          </w:tcPr>
          <w:p w14:paraId="6C4C7F10">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670" w:type="dxa"/>
            <w:vMerge w:val="continue"/>
            <w:tcBorders>
              <w:left w:val="single" w:color="auto" w:sz="4" w:space="0"/>
            </w:tcBorders>
          </w:tcPr>
          <w:p w14:paraId="7A76D90F">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808" w:type="dxa"/>
            <w:gridSpan w:val="2"/>
            <w:vMerge w:val="continue"/>
          </w:tcPr>
          <w:p w14:paraId="49A7839D">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836" w:type="dxa"/>
          </w:tcPr>
          <w:p w14:paraId="7E386C7E">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754" w:type="dxa"/>
          </w:tcPr>
          <w:p w14:paraId="53423BE3">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1886" w:type="dxa"/>
            <w:gridSpan w:val="3"/>
          </w:tcPr>
          <w:p w14:paraId="052B8F41">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c>
          <w:tcPr>
            <w:tcW w:w="4078" w:type="dxa"/>
            <w:gridSpan w:val="3"/>
          </w:tcPr>
          <w:p w14:paraId="3082FF57">
            <w:pPr>
              <w:keepNext w:val="0"/>
              <w:keepLines w:val="0"/>
              <w:pageBreakBefore w:val="0"/>
              <w:widowControl w:val="0"/>
              <w:kinsoku/>
              <w:wordWrap/>
              <w:overflowPunct/>
              <w:topLinePunct w:val="0"/>
              <w:autoSpaceDE/>
              <w:autoSpaceDN/>
              <w:bidi w:val="0"/>
              <w:adjustRightInd/>
              <w:snapToGrid/>
              <w:spacing w:line="260" w:lineRule="exact"/>
              <w:ind w:left="117"/>
              <w:textAlignment w:val="auto"/>
              <w:rPr>
                <w:rFonts w:hint="default" w:ascii="Times New Roman" w:hAnsi="Times New Roman" w:eastAsia="仿宋_GB2312" w:cs="Times New Roman"/>
                <w:spacing w:val="9"/>
                <w:sz w:val="19"/>
                <w:szCs w:val="19"/>
              </w:rPr>
            </w:pPr>
          </w:p>
        </w:tc>
      </w:tr>
      <w:tr w14:paraId="1D10E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jc w:val="center"/>
        </w:trPr>
        <w:tc>
          <w:tcPr>
            <w:tcW w:w="485" w:type="dxa"/>
            <w:vMerge w:val="continue"/>
            <w:tcBorders>
              <w:left w:val="single" w:color="auto" w:sz="4" w:space="0"/>
            </w:tcBorders>
          </w:tcPr>
          <w:p w14:paraId="09F42ACD">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restart"/>
            <w:tcBorders>
              <w:top w:val="single" w:color="auto" w:sz="4" w:space="0"/>
              <w:bottom w:val="single" w:color="auto" w:sz="4" w:space="0"/>
            </w:tcBorders>
            <w:vAlign w:val="center"/>
          </w:tcPr>
          <w:p w14:paraId="4404520E">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p w14:paraId="3A9F363C">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p w14:paraId="00F08683">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p w14:paraId="6BA78158">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p w14:paraId="2EB2793C">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p w14:paraId="1358B792">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p w14:paraId="42B23DC7">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p w14:paraId="1C5E16E3">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p w14:paraId="4210666B">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p w14:paraId="243BE6EF">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p>
          <w:p w14:paraId="1F5F8FEE">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整洁</w:t>
            </w:r>
          </w:p>
          <w:p w14:paraId="31CC4BC6">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有序</w:t>
            </w:r>
          </w:p>
        </w:tc>
        <w:tc>
          <w:tcPr>
            <w:tcW w:w="670" w:type="dxa"/>
            <w:vAlign w:val="center"/>
          </w:tcPr>
          <w:p w14:paraId="671DDA18">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序号</w:t>
            </w:r>
          </w:p>
        </w:tc>
        <w:tc>
          <w:tcPr>
            <w:tcW w:w="808" w:type="dxa"/>
            <w:gridSpan w:val="2"/>
            <w:vAlign w:val="center"/>
          </w:tcPr>
          <w:p w14:paraId="03B687A8">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指标项</w:t>
            </w:r>
          </w:p>
        </w:tc>
        <w:tc>
          <w:tcPr>
            <w:tcW w:w="7554" w:type="dxa"/>
            <w:gridSpan w:val="8"/>
            <w:vAlign w:val="center"/>
          </w:tcPr>
          <w:p w14:paraId="32DFC1D1">
            <w:pPr>
              <w:keepNext w:val="0"/>
              <w:keepLines w:val="0"/>
              <w:pageBreakBefore w:val="0"/>
              <w:widowControl w:val="0"/>
              <w:kinsoku/>
              <w:wordWrap/>
              <w:overflowPunct/>
              <w:topLinePunct w:val="0"/>
              <w:autoSpaceDE/>
              <w:autoSpaceDN/>
              <w:bidi w:val="0"/>
              <w:adjustRightInd/>
              <w:snapToGrid/>
              <w:spacing w:line="260" w:lineRule="exact"/>
              <w:ind w:left="117"/>
              <w:jc w:val="center"/>
              <w:textAlignment w:val="auto"/>
              <w:rPr>
                <w:rFonts w:hint="default" w:ascii="Times New Roman" w:hAnsi="Times New Roman" w:eastAsia="仿宋_GB2312" w:cs="Times New Roman"/>
                <w:spacing w:val="9"/>
                <w:sz w:val="19"/>
                <w:szCs w:val="19"/>
              </w:rPr>
            </w:pPr>
            <w:r>
              <w:rPr>
                <w:rFonts w:hint="default" w:ascii="Times New Roman" w:hAnsi="Times New Roman" w:eastAsia="仿宋_GB2312" w:cs="Times New Roman"/>
                <w:spacing w:val="9"/>
                <w:sz w:val="19"/>
                <w:szCs w:val="19"/>
              </w:rPr>
              <w:t>现场调研</w:t>
            </w:r>
          </w:p>
        </w:tc>
      </w:tr>
      <w:tr w14:paraId="1D89FA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8" w:hRule="atLeast"/>
          <w:jc w:val="center"/>
        </w:trPr>
        <w:tc>
          <w:tcPr>
            <w:tcW w:w="485" w:type="dxa"/>
            <w:vMerge w:val="continue"/>
            <w:tcBorders>
              <w:left w:val="single" w:color="auto" w:sz="4" w:space="0"/>
            </w:tcBorders>
          </w:tcPr>
          <w:p w14:paraId="26300407">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Borders>
              <w:top w:val="single" w:color="auto" w:sz="4" w:space="0"/>
              <w:bottom w:val="single" w:color="auto" w:sz="4" w:space="0"/>
            </w:tcBorders>
            <w:vAlign w:val="center"/>
          </w:tcPr>
          <w:p w14:paraId="78C93CF7">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tc>
        <w:tc>
          <w:tcPr>
            <w:tcW w:w="670" w:type="dxa"/>
            <w:vAlign w:val="center"/>
          </w:tcPr>
          <w:p w14:paraId="360E7C5D">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0EA1361B">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56182E56">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5600560F">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78ACA516">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rPr>
              <w:t>5</w:t>
            </w:r>
          </w:p>
        </w:tc>
        <w:tc>
          <w:tcPr>
            <w:tcW w:w="808" w:type="dxa"/>
            <w:gridSpan w:val="2"/>
            <w:vAlign w:val="center"/>
          </w:tcPr>
          <w:p w14:paraId="28D65D98">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63E111A2">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30CCDB6F">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73F5A3C5">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2"/>
                <w:sz w:val="19"/>
                <w:szCs w:val="19"/>
              </w:rPr>
              <w:t>电力缆</w:t>
            </w:r>
          </w:p>
          <w:p w14:paraId="3B89F931">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5"/>
                <w:sz w:val="19"/>
                <w:szCs w:val="19"/>
              </w:rPr>
              <w:t>线</w:t>
            </w:r>
            <w:r>
              <w:rPr>
                <w:rFonts w:hint="default" w:ascii="Times New Roman" w:hAnsi="Times New Roman" w:eastAsia="仿宋_GB2312" w:cs="Times New Roman"/>
                <w:spacing w:val="-3"/>
                <w:sz w:val="19"/>
                <w:szCs w:val="19"/>
              </w:rPr>
              <w:t>、线</w:t>
            </w:r>
          </w:p>
          <w:p w14:paraId="78B38502">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rPr>
              <w:t>杆</w:t>
            </w:r>
          </w:p>
        </w:tc>
        <w:tc>
          <w:tcPr>
            <w:tcW w:w="1590" w:type="dxa"/>
            <w:gridSpan w:val="2"/>
            <w:vAlign w:val="center"/>
          </w:tcPr>
          <w:p w14:paraId="76212358">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p w14:paraId="298C9E5E">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p w14:paraId="4907BC2B">
            <w:pPr>
              <w:keepNext w:val="0"/>
              <w:keepLines w:val="0"/>
              <w:pageBreakBefore w:val="0"/>
              <w:widowControl w:val="0"/>
              <w:kinsoku/>
              <w:wordWrap/>
              <w:overflowPunct/>
              <w:topLinePunct w:val="0"/>
              <w:autoSpaceDE/>
              <w:autoSpaceDN/>
              <w:bidi w:val="0"/>
              <w:adjustRightInd/>
              <w:snapToGrid/>
              <w:spacing w:line="260" w:lineRule="exact"/>
              <w:ind w:left="0" w:right="105" w:firstLine="21"/>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6"/>
                <w:sz w:val="19"/>
                <w:szCs w:val="19"/>
              </w:rPr>
              <w:t>以“…… ”符号绘</w:t>
            </w:r>
            <w:r>
              <w:rPr>
                <w:rFonts w:hint="default" w:ascii="Times New Roman" w:hAnsi="Times New Roman" w:eastAsia="仿宋_GB2312" w:cs="Times New Roman"/>
                <w:sz w:val="19"/>
                <w:szCs w:val="19"/>
              </w:rPr>
              <w:t xml:space="preserve"> </w:t>
            </w:r>
            <w:r>
              <w:rPr>
                <w:rFonts w:hint="default" w:ascii="Times New Roman" w:hAnsi="Times New Roman" w:eastAsia="仿宋_GB2312" w:cs="Times New Roman"/>
                <w:spacing w:val="22"/>
                <w:sz w:val="19"/>
                <w:szCs w:val="19"/>
              </w:rPr>
              <w:t>制</w:t>
            </w:r>
            <w:r>
              <w:rPr>
                <w:rFonts w:hint="default" w:ascii="Times New Roman" w:hAnsi="Times New Roman" w:eastAsia="仿宋_GB2312" w:cs="Times New Roman"/>
                <w:spacing w:val="20"/>
                <w:sz w:val="19"/>
                <w:szCs w:val="19"/>
              </w:rPr>
              <w:t>立杆线路问题</w:t>
            </w:r>
            <w:r>
              <w:rPr>
                <w:rFonts w:hint="default" w:ascii="Times New Roman" w:hAnsi="Times New Roman" w:eastAsia="仿宋_GB2312" w:cs="Times New Roman"/>
                <w:sz w:val="19"/>
                <w:szCs w:val="19"/>
              </w:rPr>
              <w:t xml:space="preserve"> </w:t>
            </w:r>
            <w:r>
              <w:rPr>
                <w:rFonts w:hint="default" w:ascii="Times New Roman" w:hAnsi="Times New Roman" w:eastAsia="仿宋_GB2312" w:cs="Times New Roman"/>
                <w:spacing w:val="6"/>
                <w:sz w:val="19"/>
                <w:szCs w:val="19"/>
              </w:rPr>
              <w:t>路段， 并标注</w:t>
            </w:r>
            <w:r>
              <w:rPr>
                <w:rFonts w:hint="default" w:ascii="Times New Roman" w:hAnsi="Times New Roman" w:eastAsia="仿宋_GB2312" w:cs="Times New Roman"/>
                <w:spacing w:val="5"/>
                <w:sz w:val="19"/>
                <w:szCs w:val="19"/>
              </w:rPr>
              <w:t>具</w:t>
            </w:r>
            <w:r>
              <w:rPr>
                <w:rFonts w:hint="default" w:ascii="Times New Roman" w:hAnsi="Times New Roman" w:eastAsia="仿宋_GB2312" w:cs="Times New Roman"/>
                <w:sz w:val="19"/>
                <w:szCs w:val="19"/>
              </w:rPr>
              <w:t xml:space="preserve"> </w:t>
            </w:r>
            <w:r>
              <w:rPr>
                <w:rFonts w:hint="default" w:ascii="Times New Roman" w:hAnsi="Times New Roman" w:eastAsia="仿宋_GB2312" w:cs="Times New Roman"/>
                <w:spacing w:val="10"/>
                <w:sz w:val="19"/>
                <w:szCs w:val="19"/>
              </w:rPr>
              <w:t>体</w:t>
            </w:r>
            <w:r>
              <w:rPr>
                <w:rFonts w:hint="default" w:ascii="Times New Roman" w:hAnsi="Times New Roman" w:eastAsia="仿宋_GB2312" w:cs="Times New Roman"/>
                <w:spacing w:val="7"/>
                <w:sz w:val="19"/>
                <w:szCs w:val="19"/>
              </w:rPr>
              <w:t>问题序号</w:t>
            </w:r>
          </w:p>
        </w:tc>
        <w:tc>
          <w:tcPr>
            <w:tcW w:w="5964" w:type="dxa"/>
            <w:gridSpan w:val="6"/>
            <w:vAlign w:val="center"/>
          </w:tcPr>
          <w:p w14:paraId="42C674B4">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2"/>
                <w:szCs w:val="21"/>
              </w:rPr>
              <w:t>是</w:t>
            </w:r>
            <w:r>
              <w:rPr>
                <w:rFonts w:hint="default" w:ascii="Times New Roman" w:hAnsi="Times New Roman" w:eastAsia="仿宋_GB2312" w:cs="Times New Roman"/>
                <w:spacing w:val="6"/>
                <w:szCs w:val="21"/>
              </w:rPr>
              <w:t>否存在以下问题（可多选）</w:t>
            </w:r>
          </w:p>
          <w:p w14:paraId="55E73E64">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eastAsia" w:ascii="Times New Roman" w:hAnsi="Times New Roman" w:eastAsia="仿宋_GB2312" w:cs="Times New Roman"/>
                <w:spacing w:val="-14"/>
                <w:sz w:val="19"/>
                <w:szCs w:val="19"/>
                <w:lang w:eastAsia="zh-CN"/>
              </w:rPr>
              <w:t>（</w:t>
            </w:r>
            <w:r>
              <w:rPr>
                <w:rFonts w:hint="default" w:ascii="Times New Roman" w:hAnsi="Times New Roman" w:eastAsia="仿宋_GB2312" w:cs="Times New Roman"/>
                <w:spacing w:val="-7"/>
                <w:sz w:val="19"/>
                <w:szCs w:val="19"/>
              </w:rPr>
              <w:t xml:space="preserve"> 1 废弃线缆和立杆</w:t>
            </w:r>
          </w:p>
          <w:p w14:paraId="74BE2BA8">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4"/>
                <w:sz w:val="19"/>
                <w:szCs w:val="19"/>
              </w:rPr>
              <w:t>□</w:t>
            </w:r>
            <w:r>
              <w:rPr>
                <w:rFonts w:hint="default" w:ascii="Times New Roman" w:hAnsi="Times New Roman" w:eastAsia="仿宋_GB2312" w:cs="Times New Roman"/>
                <w:spacing w:val="3"/>
                <w:sz w:val="19"/>
                <w:szCs w:val="19"/>
              </w:rPr>
              <w:t>2</w:t>
            </w:r>
            <w:r>
              <w:rPr>
                <w:rFonts w:hint="default" w:ascii="Times New Roman" w:hAnsi="Times New Roman" w:eastAsia="仿宋_GB2312" w:cs="Times New Roman"/>
                <w:spacing w:val="2"/>
                <w:sz w:val="19"/>
                <w:szCs w:val="19"/>
              </w:rPr>
              <w:t xml:space="preserve"> 线杆松动、断裂、歪斜等</w:t>
            </w:r>
          </w:p>
          <w:p w14:paraId="73B14562">
            <w:pPr>
              <w:keepNext w:val="0"/>
              <w:keepLines w:val="0"/>
              <w:pageBreakBefore w:val="0"/>
              <w:widowControl w:val="0"/>
              <w:kinsoku/>
              <w:wordWrap/>
              <w:overflowPunct/>
              <w:topLinePunct w:val="0"/>
              <w:autoSpaceDE/>
              <w:autoSpaceDN/>
              <w:bidi w:val="0"/>
              <w:adjustRightInd/>
              <w:snapToGrid/>
              <w:spacing w:line="260" w:lineRule="exact"/>
              <w:ind w:left="0" w:right="155" w:firstLine="5"/>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12"/>
                <w:sz w:val="19"/>
                <w:szCs w:val="19"/>
              </w:rPr>
              <w:t xml:space="preserve">□3 </w:t>
            </w:r>
            <w:r>
              <w:rPr>
                <w:rFonts w:hint="default" w:ascii="Times New Roman" w:hAnsi="Times New Roman" w:eastAsia="仿宋_GB2312" w:cs="Times New Roman"/>
                <w:spacing w:val="7"/>
                <w:sz w:val="19"/>
                <w:szCs w:val="19"/>
              </w:rPr>
              <w:t>路</w:t>
            </w:r>
            <w:r>
              <w:rPr>
                <w:rFonts w:hint="default" w:ascii="Times New Roman" w:hAnsi="Times New Roman" w:eastAsia="仿宋_GB2312" w:cs="Times New Roman"/>
                <w:spacing w:val="6"/>
                <w:sz w:val="19"/>
                <w:szCs w:val="19"/>
              </w:rPr>
              <w:t>名牌、指路牌等立杆油漆剥落、断裂、倾斜、废弃等</w:t>
            </w:r>
            <w:r>
              <w:rPr>
                <w:rFonts w:hint="default" w:ascii="Times New Roman" w:hAnsi="Times New Roman" w:eastAsia="仿宋_GB2312" w:cs="Times New Roman"/>
                <w:sz w:val="19"/>
                <w:szCs w:val="19"/>
              </w:rPr>
              <w:t xml:space="preserve"> </w:t>
            </w:r>
          </w:p>
          <w:p w14:paraId="4FB2F890">
            <w:pPr>
              <w:keepNext w:val="0"/>
              <w:keepLines w:val="0"/>
              <w:pageBreakBefore w:val="0"/>
              <w:widowControl w:val="0"/>
              <w:kinsoku/>
              <w:wordWrap/>
              <w:overflowPunct/>
              <w:topLinePunct w:val="0"/>
              <w:autoSpaceDE/>
              <w:autoSpaceDN/>
              <w:bidi w:val="0"/>
              <w:adjustRightInd/>
              <w:snapToGrid/>
              <w:spacing w:line="260" w:lineRule="exact"/>
              <w:ind w:left="0" w:right="155" w:firstLine="5"/>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7"/>
                <w:sz w:val="19"/>
                <w:szCs w:val="19"/>
              </w:rPr>
              <w:t>□4 路名牌、指路牌和交通标志牌等文字缺失、表述不规</w:t>
            </w:r>
            <w:r>
              <w:rPr>
                <w:rFonts w:hint="default" w:ascii="Times New Roman" w:hAnsi="Times New Roman" w:eastAsia="仿宋_GB2312" w:cs="Times New Roman"/>
                <w:spacing w:val="4"/>
                <w:sz w:val="19"/>
                <w:szCs w:val="19"/>
              </w:rPr>
              <w:t>范</w:t>
            </w:r>
            <w:r>
              <w:rPr>
                <w:rFonts w:hint="default" w:ascii="Times New Roman" w:hAnsi="Times New Roman" w:eastAsia="仿宋_GB2312" w:cs="Times New Roman"/>
                <w:sz w:val="19"/>
                <w:szCs w:val="19"/>
              </w:rPr>
              <w:t xml:space="preserve"> </w:t>
            </w:r>
          </w:p>
          <w:p w14:paraId="58E7F8F0">
            <w:pPr>
              <w:keepNext w:val="0"/>
              <w:keepLines w:val="0"/>
              <w:pageBreakBefore w:val="0"/>
              <w:widowControl w:val="0"/>
              <w:kinsoku/>
              <w:wordWrap/>
              <w:overflowPunct/>
              <w:topLinePunct w:val="0"/>
              <w:autoSpaceDE/>
              <w:autoSpaceDN/>
              <w:bidi w:val="0"/>
              <w:adjustRightInd/>
              <w:snapToGrid/>
              <w:spacing w:line="260" w:lineRule="exact"/>
              <w:ind w:left="0" w:right="155" w:firstLine="5"/>
              <w:jc w:val="both"/>
              <w:textAlignment w:val="auto"/>
              <w:rPr>
                <w:rFonts w:hint="default" w:ascii="Times New Roman" w:hAnsi="Times New Roman" w:eastAsia="仿宋_GB2312" w:cs="Times New Roman"/>
                <w:sz w:val="19"/>
                <w:szCs w:val="19"/>
              </w:rPr>
            </w:pPr>
            <w:r>
              <w:rPr>
                <w:rFonts w:hint="eastAsia" w:ascii="Times New Roman" w:hAnsi="Times New Roman" w:eastAsia="仿宋_GB2312" w:cs="Times New Roman"/>
                <w:spacing w:val="15"/>
                <w:sz w:val="19"/>
                <w:szCs w:val="19"/>
                <w:lang w:eastAsia="zh-CN"/>
              </w:rPr>
              <w:t>（</w:t>
            </w:r>
            <w:r>
              <w:rPr>
                <w:rFonts w:hint="default" w:ascii="Times New Roman" w:hAnsi="Times New Roman" w:eastAsia="仿宋_GB2312" w:cs="Times New Roman"/>
                <w:spacing w:val="10"/>
                <w:sz w:val="19"/>
                <w:szCs w:val="19"/>
              </w:rPr>
              <w:t>5 乱拉乱设空中电路（电线电缆等）、飞线充电、松散垮</w:t>
            </w:r>
            <w:r>
              <w:rPr>
                <w:rFonts w:hint="default" w:ascii="Times New Roman" w:hAnsi="Times New Roman" w:eastAsia="仿宋_GB2312" w:cs="Times New Roman"/>
                <w:sz w:val="19"/>
                <w:szCs w:val="19"/>
              </w:rPr>
              <w:t xml:space="preserve"> </w:t>
            </w:r>
            <w:r>
              <w:rPr>
                <w:rFonts w:hint="default" w:ascii="Times New Roman" w:hAnsi="Times New Roman" w:eastAsia="仿宋_GB2312" w:cs="Times New Roman"/>
                <w:spacing w:val="10"/>
                <w:sz w:val="19"/>
                <w:szCs w:val="19"/>
              </w:rPr>
              <w:t>落</w:t>
            </w:r>
            <w:r>
              <w:rPr>
                <w:rFonts w:hint="default" w:ascii="Times New Roman" w:hAnsi="Times New Roman" w:eastAsia="仿宋_GB2312" w:cs="Times New Roman"/>
                <w:spacing w:val="7"/>
                <w:sz w:val="19"/>
                <w:szCs w:val="19"/>
              </w:rPr>
              <w:t>、断股悬垂等现象</w:t>
            </w:r>
          </w:p>
          <w:p w14:paraId="72EE4BDC">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4"/>
                <w:sz w:val="19"/>
                <w:szCs w:val="19"/>
              </w:rPr>
              <w:t>□6</w:t>
            </w:r>
            <w:r>
              <w:rPr>
                <w:rFonts w:hint="default" w:ascii="Times New Roman" w:hAnsi="Times New Roman" w:eastAsia="仿宋_GB2312" w:cs="Times New Roman"/>
                <w:spacing w:val="-3"/>
                <w:sz w:val="19"/>
                <w:szCs w:val="19"/>
              </w:rPr>
              <w:t xml:space="preserve"> </w:t>
            </w:r>
            <w:r>
              <w:rPr>
                <w:rFonts w:hint="default" w:ascii="Times New Roman" w:hAnsi="Times New Roman" w:eastAsia="仿宋_GB2312" w:cs="Times New Roman"/>
                <w:spacing w:val="-2"/>
                <w:sz w:val="19"/>
                <w:szCs w:val="19"/>
              </w:rPr>
              <w:t>箱体损坏</w:t>
            </w:r>
          </w:p>
          <w:p w14:paraId="38A81907">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4"/>
                <w:sz w:val="19"/>
                <w:szCs w:val="19"/>
              </w:rPr>
              <w:t>□</w:t>
            </w:r>
            <w:r>
              <w:rPr>
                <w:rFonts w:hint="default" w:ascii="Times New Roman" w:hAnsi="Times New Roman" w:eastAsia="仿宋_GB2312" w:cs="Times New Roman"/>
                <w:spacing w:val="-2"/>
                <w:sz w:val="19"/>
                <w:szCs w:val="19"/>
              </w:rPr>
              <w:t>7 其</w:t>
            </w:r>
            <w:r>
              <w:rPr>
                <w:rFonts w:hint="default" w:ascii="Times New Roman" w:hAnsi="Times New Roman" w:eastAsia="仿宋_GB2312" w:cs="Times New Roman"/>
                <w:spacing w:val="-1"/>
                <w:sz w:val="19"/>
                <w:szCs w:val="19"/>
              </w:rPr>
              <w:t>他____</w:t>
            </w:r>
          </w:p>
        </w:tc>
      </w:tr>
      <w:tr w14:paraId="133EAD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jc w:val="center"/>
        </w:trPr>
        <w:tc>
          <w:tcPr>
            <w:tcW w:w="485" w:type="dxa"/>
            <w:vMerge w:val="continue"/>
            <w:tcBorders>
              <w:left w:val="single" w:color="auto" w:sz="4" w:space="0"/>
            </w:tcBorders>
          </w:tcPr>
          <w:p w14:paraId="1E21CA51">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Borders>
              <w:top w:val="single" w:color="auto" w:sz="4" w:space="0"/>
              <w:bottom w:val="single" w:color="auto" w:sz="4" w:space="0"/>
            </w:tcBorders>
            <w:vAlign w:val="center"/>
          </w:tcPr>
          <w:p w14:paraId="5AE19BB7">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tc>
        <w:tc>
          <w:tcPr>
            <w:tcW w:w="670" w:type="dxa"/>
            <w:vAlign w:val="center"/>
          </w:tcPr>
          <w:p w14:paraId="730EFDE0">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45F42B03">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rPr>
              <w:t>6</w:t>
            </w:r>
          </w:p>
        </w:tc>
        <w:tc>
          <w:tcPr>
            <w:tcW w:w="808" w:type="dxa"/>
            <w:gridSpan w:val="2"/>
            <w:vAlign w:val="center"/>
          </w:tcPr>
          <w:p w14:paraId="106765BF">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69777A24">
            <w:pPr>
              <w:keepNext w:val="0"/>
              <w:keepLines w:val="0"/>
              <w:pageBreakBefore w:val="0"/>
              <w:widowControl w:val="0"/>
              <w:kinsoku/>
              <w:wordWrap/>
              <w:overflowPunct/>
              <w:topLinePunct w:val="0"/>
              <w:autoSpaceDE/>
              <w:autoSpaceDN/>
              <w:bidi w:val="0"/>
              <w:adjustRightInd/>
              <w:snapToGrid/>
              <w:spacing w:line="260" w:lineRule="exact"/>
              <w:ind w:left="0" w:right="125" w:hanging="195"/>
              <w:jc w:val="center"/>
              <w:textAlignment w:val="auto"/>
              <w:rPr>
                <w:rFonts w:hint="default" w:ascii="Times New Roman" w:hAnsi="Times New Roman" w:eastAsia="仿宋_GB2312" w:cs="Times New Roman"/>
                <w:spacing w:val="6"/>
                <w:sz w:val="19"/>
                <w:szCs w:val="19"/>
              </w:rPr>
            </w:pPr>
            <w:r>
              <w:rPr>
                <w:rFonts w:hint="default" w:ascii="Times New Roman" w:hAnsi="Times New Roman" w:eastAsia="仿宋_GB2312" w:cs="Times New Roman"/>
                <w:spacing w:val="6"/>
                <w:sz w:val="19"/>
                <w:szCs w:val="19"/>
              </w:rPr>
              <w:t>车辆</w:t>
            </w:r>
          </w:p>
          <w:p w14:paraId="09E3C9E1">
            <w:pPr>
              <w:keepNext w:val="0"/>
              <w:keepLines w:val="0"/>
              <w:pageBreakBefore w:val="0"/>
              <w:widowControl w:val="0"/>
              <w:kinsoku/>
              <w:wordWrap/>
              <w:overflowPunct/>
              <w:topLinePunct w:val="0"/>
              <w:autoSpaceDE/>
              <w:autoSpaceDN/>
              <w:bidi w:val="0"/>
              <w:adjustRightInd/>
              <w:snapToGrid/>
              <w:spacing w:line="260" w:lineRule="exact"/>
              <w:ind w:left="0" w:right="125" w:hanging="195"/>
              <w:jc w:val="center"/>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6"/>
                <w:sz w:val="19"/>
                <w:szCs w:val="19"/>
              </w:rPr>
              <w:t>停放</w:t>
            </w:r>
          </w:p>
        </w:tc>
        <w:tc>
          <w:tcPr>
            <w:tcW w:w="1590" w:type="dxa"/>
            <w:gridSpan w:val="2"/>
            <w:vAlign w:val="center"/>
          </w:tcPr>
          <w:p w14:paraId="5456BAC1">
            <w:pPr>
              <w:keepNext w:val="0"/>
              <w:keepLines w:val="0"/>
              <w:pageBreakBefore w:val="0"/>
              <w:widowControl w:val="0"/>
              <w:kinsoku/>
              <w:wordWrap/>
              <w:overflowPunct/>
              <w:topLinePunct w:val="0"/>
              <w:autoSpaceDE/>
              <w:autoSpaceDN/>
              <w:bidi w:val="0"/>
              <w:adjustRightInd/>
              <w:snapToGrid/>
              <w:spacing w:line="260" w:lineRule="exact"/>
              <w:ind w:left="0" w:right="105" w:firstLine="2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13"/>
                <w:sz w:val="19"/>
                <w:szCs w:val="19"/>
              </w:rPr>
              <w:t>以</w:t>
            </w:r>
            <w:r>
              <w:rPr>
                <w:rFonts w:hint="default" w:ascii="Times New Roman" w:hAnsi="Times New Roman" w:eastAsia="仿宋_GB2312" w:cs="Times New Roman"/>
                <w:spacing w:val="-8"/>
                <w:sz w:val="19"/>
                <w:szCs w:val="19"/>
              </w:rPr>
              <w:t>“┗━┛”符号</w:t>
            </w:r>
            <w:r>
              <w:rPr>
                <w:rFonts w:hint="default" w:ascii="Times New Roman" w:hAnsi="Times New Roman" w:eastAsia="仿宋_GB2312" w:cs="Times New Roman"/>
                <w:sz w:val="19"/>
                <w:szCs w:val="19"/>
              </w:rPr>
              <w:t xml:space="preserve"> </w:t>
            </w:r>
            <w:r>
              <w:rPr>
                <w:rFonts w:hint="default" w:ascii="Times New Roman" w:hAnsi="Times New Roman" w:eastAsia="仿宋_GB2312" w:cs="Times New Roman"/>
                <w:spacing w:val="21"/>
                <w:sz w:val="19"/>
                <w:szCs w:val="19"/>
              </w:rPr>
              <w:t>绘</w:t>
            </w:r>
            <w:r>
              <w:rPr>
                <w:rFonts w:hint="default" w:ascii="Times New Roman" w:hAnsi="Times New Roman" w:eastAsia="仿宋_GB2312" w:cs="Times New Roman"/>
                <w:spacing w:val="20"/>
                <w:sz w:val="19"/>
                <w:szCs w:val="19"/>
              </w:rPr>
              <w:t>制出车辆停放</w:t>
            </w:r>
            <w:r>
              <w:rPr>
                <w:rFonts w:hint="default" w:ascii="Times New Roman" w:hAnsi="Times New Roman" w:eastAsia="仿宋_GB2312" w:cs="Times New Roman"/>
                <w:sz w:val="19"/>
                <w:szCs w:val="19"/>
              </w:rPr>
              <w:t xml:space="preserve"> </w:t>
            </w:r>
            <w:r>
              <w:rPr>
                <w:rFonts w:hint="default" w:ascii="Times New Roman" w:hAnsi="Times New Roman" w:eastAsia="仿宋_GB2312" w:cs="Times New Roman"/>
                <w:spacing w:val="21"/>
                <w:sz w:val="19"/>
                <w:szCs w:val="19"/>
              </w:rPr>
              <w:t>无</w:t>
            </w:r>
            <w:r>
              <w:rPr>
                <w:rFonts w:hint="default" w:ascii="Times New Roman" w:hAnsi="Times New Roman" w:eastAsia="仿宋_GB2312" w:cs="Times New Roman"/>
                <w:spacing w:val="20"/>
                <w:sz w:val="19"/>
                <w:szCs w:val="19"/>
              </w:rPr>
              <w:t>序路段并记录</w:t>
            </w:r>
            <w:r>
              <w:rPr>
                <w:rFonts w:hint="default" w:ascii="Times New Roman" w:hAnsi="Times New Roman" w:eastAsia="仿宋_GB2312" w:cs="Times New Roman"/>
                <w:sz w:val="19"/>
                <w:szCs w:val="19"/>
              </w:rPr>
              <w:t xml:space="preserve"> </w:t>
            </w:r>
            <w:r>
              <w:rPr>
                <w:rFonts w:hint="default" w:ascii="Times New Roman" w:hAnsi="Times New Roman" w:eastAsia="仿宋_GB2312" w:cs="Times New Roman"/>
                <w:spacing w:val="8"/>
                <w:sz w:val="19"/>
                <w:szCs w:val="19"/>
              </w:rPr>
              <w:t>问</w:t>
            </w:r>
            <w:r>
              <w:rPr>
                <w:rFonts w:hint="default" w:ascii="Times New Roman" w:hAnsi="Times New Roman" w:eastAsia="仿宋_GB2312" w:cs="Times New Roman"/>
                <w:spacing w:val="6"/>
                <w:sz w:val="19"/>
                <w:szCs w:val="19"/>
              </w:rPr>
              <w:t>题序号</w:t>
            </w:r>
          </w:p>
        </w:tc>
        <w:tc>
          <w:tcPr>
            <w:tcW w:w="5964" w:type="dxa"/>
            <w:gridSpan w:val="6"/>
            <w:vAlign w:val="center"/>
          </w:tcPr>
          <w:p w14:paraId="2DB969EA">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2"/>
                <w:szCs w:val="21"/>
              </w:rPr>
              <w:t>是</w:t>
            </w:r>
            <w:r>
              <w:rPr>
                <w:rFonts w:hint="default" w:ascii="Times New Roman" w:hAnsi="Times New Roman" w:eastAsia="仿宋_GB2312" w:cs="Times New Roman"/>
                <w:spacing w:val="6"/>
                <w:szCs w:val="21"/>
              </w:rPr>
              <w:t>否存在以下问题（可多选）</w:t>
            </w:r>
          </w:p>
          <w:p w14:paraId="06D5BEC5">
            <w:pPr>
              <w:keepNext w:val="0"/>
              <w:keepLines w:val="0"/>
              <w:pageBreakBefore w:val="0"/>
              <w:widowControl w:val="0"/>
              <w:kinsoku/>
              <w:wordWrap/>
              <w:overflowPunct/>
              <w:topLinePunct w:val="0"/>
              <w:autoSpaceDE/>
              <w:autoSpaceDN/>
              <w:bidi w:val="0"/>
              <w:adjustRightInd/>
              <w:snapToGrid/>
              <w:spacing w:line="260" w:lineRule="exact"/>
              <w:ind w:left="0" w:right="455"/>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4"/>
                <w:sz w:val="19"/>
                <w:szCs w:val="19"/>
              </w:rPr>
              <w:t xml:space="preserve">□1 违停机动车连续超过 3 辆或非机动车连续超过 10 </w:t>
            </w:r>
            <w:r>
              <w:rPr>
                <w:rFonts w:hint="default" w:ascii="Times New Roman" w:hAnsi="Times New Roman" w:eastAsia="仿宋_GB2312" w:cs="Times New Roman"/>
                <w:sz w:val="19"/>
                <w:szCs w:val="19"/>
              </w:rPr>
              <w:t xml:space="preserve">辆 </w:t>
            </w:r>
          </w:p>
          <w:p w14:paraId="5CE8D798">
            <w:pPr>
              <w:keepNext w:val="0"/>
              <w:keepLines w:val="0"/>
              <w:pageBreakBefore w:val="0"/>
              <w:widowControl w:val="0"/>
              <w:kinsoku/>
              <w:wordWrap/>
              <w:overflowPunct/>
              <w:topLinePunct w:val="0"/>
              <w:autoSpaceDE/>
              <w:autoSpaceDN/>
              <w:bidi w:val="0"/>
              <w:adjustRightInd/>
              <w:snapToGrid/>
              <w:spacing w:line="260" w:lineRule="exact"/>
              <w:ind w:left="0" w:right="455"/>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4"/>
                <w:sz w:val="19"/>
                <w:szCs w:val="19"/>
              </w:rPr>
              <w:t>□2 占</w:t>
            </w:r>
            <w:r>
              <w:rPr>
                <w:rFonts w:hint="default" w:ascii="Times New Roman" w:hAnsi="Times New Roman" w:eastAsia="仿宋_GB2312" w:cs="Times New Roman"/>
                <w:spacing w:val="2"/>
                <w:sz w:val="19"/>
                <w:szCs w:val="19"/>
              </w:rPr>
              <w:t>用绿化带和人行道</w:t>
            </w:r>
          </w:p>
          <w:p w14:paraId="15A31832">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2"/>
                <w:sz w:val="19"/>
                <w:szCs w:val="19"/>
              </w:rPr>
              <w:t>□3 其他___</w:t>
            </w:r>
            <w:r>
              <w:rPr>
                <w:rFonts w:hint="default" w:ascii="Times New Roman" w:hAnsi="Times New Roman" w:eastAsia="仿宋_GB2312" w:cs="Times New Roman"/>
                <w:spacing w:val="-1"/>
                <w:sz w:val="19"/>
                <w:szCs w:val="19"/>
              </w:rPr>
              <w:t>_</w:t>
            </w:r>
          </w:p>
        </w:tc>
      </w:tr>
      <w:tr w14:paraId="5689B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0" w:hRule="atLeast"/>
          <w:jc w:val="center"/>
        </w:trPr>
        <w:tc>
          <w:tcPr>
            <w:tcW w:w="485" w:type="dxa"/>
            <w:vMerge w:val="continue"/>
            <w:tcBorders>
              <w:left w:val="single" w:color="auto" w:sz="4" w:space="0"/>
            </w:tcBorders>
          </w:tcPr>
          <w:p w14:paraId="60DE259C">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Borders>
              <w:top w:val="single" w:color="auto" w:sz="4" w:space="0"/>
              <w:bottom w:val="single" w:color="auto" w:sz="4" w:space="0"/>
            </w:tcBorders>
            <w:vAlign w:val="center"/>
          </w:tcPr>
          <w:p w14:paraId="176B4648">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tc>
        <w:tc>
          <w:tcPr>
            <w:tcW w:w="670" w:type="dxa"/>
            <w:vAlign w:val="center"/>
          </w:tcPr>
          <w:p w14:paraId="7A57E6CC">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7403DF5F">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5CB16FA0">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rPr>
              <w:t>7</w:t>
            </w:r>
          </w:p>
        </w:tc>
        <w:tc>
          <w:tcPr>
            <w:tcW w:w="808" w:type="dxa"/>
            <w:gridSpan w:val="2"/>
            <w:vAlign w:val="center"/>
          </w:tcPr>
          <w:p w14:paraId="406F69D6">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69FB58C4">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0CBED053">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4"/>
                <w:sz w:val="19"/>
                <w:szCs w:val="19"/>
              </w:rPr>
              <w:t>窨井</w:t>
            </w:r>
            <w:r>
              <w:rPr>
                <w:rFonts w:hint="default" w:ascii="Times New Roman" w:hAnsi="Times New Roman" w:eastAsia="仿宋_GB2312" w:cs="Times New Roman"/>
                <w:spacing w:val="3"/>
                <w:sz w:val="19"/>
                <w:szCs w:val="19"/>
              </w:rPr>
              <w:t>盖</w:t>
            </w:r>
          </w:p>
        </w:tc>
        <w:tc>
          <w:tcPr>
            <w:tcW w:w="1590" w:type="dxa"/>
            <w:gridSpan w:val="2"/>
            <w:vAlign w:val="center"/>
          </w:tcPr>
          <w:p w14:paraId="2A94FA7B">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p w14:paraId="3B259FD7">
            <w:pPr>
              <w:keepNext w:val="0"/>
              <w:keepLines w:val="0"/>
              <w:pageBreakBefore w:val="0"/>
              <w:widowControl w:val="0"/>
              <w:kinsoku/>
              <w:wordWrap/>
              <w:overflowPunct/>
              <w:topLinePunct w:val="0"/>
              <w:autoSpaceDE/>
              <w:autoSpaceDN/>
              <w:bidi w:val="0"/>
              <w:adjustRightInd/>
              <w:snapToGrid/>
              <w:spacing w:line="260" w:lineRule="exact"/>
              <w:ind w:left="0" w:right="105" w:firstLine="22"/>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13"/>
                <w:sz w:val="19"/>
                <w:szCs w:val="19"/>
              </w:rPr>
              <w:t>以</w:t>
            </w:r>
            <w:r>
              <w:rPr>
                <w:rFonts w:hint="default" w:ascii="Times New Roman" w:hAnsi="Times New Roman" w:eastAsia="仿宋_GB2312" w:cs="Times New Roman"/>
                <w:spacing w:val="-8"/>
                <w:sz w:val="19"/>
                <w:szCs w:val="19"/>
              </w:rPr>
              <w:t>“●”符号标记</w:t>
            </w:r>
            <w:r>
              <w:rPr>
                <w:rFonts w:hint="default" w:ascii="Times New Roman" w:hAnsi="Times New Roman" w:eastAsia="仿宋_GB2312" w:cs="Times New Roman"/>
                <w:sz w:val="19"/>
                <w:szCs w:val="19"/>
              </w:rPr>
              <w:t xml:space="preserve"> </w:t>
            </w:r>
            <w:r>
              <w:rPr>
                <w:rFonts w:hint="default" w:ascii="Times New Roman" w:hAnsi="Times New Roman" w:eastAsia="仿宋_GB2312" w:cs="Times New Roman"/>
                <w:spacing w:val="23"/>
                <w:sz w:val="19"/>
                <w:szCs w:val="19"/>
              </w:rPr>
              <w:t>窨</w:t>
            </w:r>
            <w:r>
              <w:rPr>
                <w:rFonts w:hint="default" w:ascii="Times New Roman" w:hAnsi="Times New Roman" w:eastAsia="仿宋_GB2312" w:cs="Times New Roman"/>
                <w:spacing w:val="20"/>
                <w:sz w:val="19"/>
                <w:szCs w:val="19"/>
              </w:rPr>
              <w:t>井盖问题点并</w:t>
            </w:r>
            <w:r>
              <w:rPr>
                <w:rFonts w:hint="default" w:ascii="Times New Roman" w:hAnsi="Times New Roman" w:eastAsia="仿宋_GB2312" w:cs="Times New Roman"/>
                <w:sz w:val="19"/>
                <w:szCs w:val="19"/>
              </w:rPr>
              <w:t xml:space="preserve"> </w:t>
            </w:r>
            <w:r>
              <w:rPr>
                <w:rFonts w:hint="default" w:ascii="Times New Roman" w:hAnsi="Times New Roman" w:eastAsia="仿宋_GB2312" w:cs="Times New Roman"/>
                <w:spacing w:val="8"/>
                <w:sz w:val="19"/>
                <w:szCs w:val="19"/>
              </w:rPr>
              <w:t>记录问题序号</w:t>
            </w:r>
          </w:p>
        </w:tc>
        <w:tc>
          <w:tcPr>
            <w:tcW w:w="5964" w:type="dxa"/>
            <w:gridSpan w:val="6"/>
            <w:vAlign w:val="center"/>
          </w:tcPr>
          <w:p w14:paraId="31EDAFBC">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2"/>
                <w:szCs w:val="21"/>
              </w:rPr>
              <w:t>是否存在</w:t>
            </w:r>
            <w:r>
              <w:rPr>
                <w:rFonts w:hint="default" w:ascii="Times New Roman" w:hAnsi="Times New Roman" w:eastAsia="仿宋_GB2312" w:cs="Times New Roman"/>
                <w:spacing w:val="-1"/>
                <w:szCs w:val="21"/>
              </w:rPr>
              <w:t>以下问题</w:t>
            </w:r>
          </w:p>
          <w:p w14:paraId="01A36BDA">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22"/>
                <w:position w:val="6"/>
                <w:sz w:val="19"/>
                <w:szCs w:val="19"/>
              </w:rPr>
              <w:t>□ 1 缺失</w:t>
            </w:r>
          </w:p>
          <w:p w14:paraId="712D81E3">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9"/>
                <w:sz w:val="19"/>
                <w:szCs w:val="19"/>
              </w:rPr>
              <w:t>□</w:t>
            </w:r>
            <w:r>
              <w:rPr>
                <w:rFonts w:hint="default" w:ascii="Times New Roman" w:hAnsi="Times New Roman" w:eastAsia="仿宋_GB2312" w:cs="Times New Roman"/>
                <w:spacing w:val="-7"/>
                <w:sz w:val="19"/>
                <w:szCs w:val="19"/>
              </w:rPr>
              <w:t>2 移位</w:t>
            </w:r>
          </w:p>
          <w:p w14:paraId="41DD18A7">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9"/>
                <w:sz w:val="19"/>
                <w:szCs w:val="19"/>
              </w:rPr>
              <w:t>□</w:t>
            </w:r>
            <w:r>
              <w:rPr>
                <w:rFonts w:hint="default" w:ascii="Times New Roman" w:hAnsi="Times New Roman" w:eastAsia="仿宋_GB2312" w:cs="Times New Roman"/>
                <w:spacing w:val="-7"/>
                <w:sz w:val="19"/>
                <w:szCs w:val="19"/>
              </w:rPr>
              <w:t>3 损坏</w:t>
            </w:r>
          </w:p>
          <w:p w14:paraId="2BE1A4ED">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2"/>
                <w:sz w:val="19"/>
                <w:szCs w:val="19"/>
              </w:rPr>
              <w:t>□4 其他____</w:t>
            </w:r>
          </w:p>
        </w:tc>
      </w:tr>
      <w:tr w14:paraId="47D9E7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jc w:val="center"/>
        </w:trPr>
        <w:tc>
          <w:tcPr>
            <w:tcW w:w="485" w:type="dxa"/>
            <w:vMerge w:val="continue"/>
            <w:tcBorders>
              <w:left w:val="single" w:color="auto" w:sz="4" w:space="0"/>
            </w:tcBorders>
          </w:tcPr>
          <w:p w14:paraId="4AEC693A">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restart"/>
            <w:tcBorders>
              <w:top w:val="single" w:color="auto" w:sz="4" w:space="0"/>
            </w:tcBorders>
            <w:vAlign w:val="center"/>
          </w:tcPr>
          <w:p w14:paraId="67B80B18">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0AC952C8">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73A34688">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50786737">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24E1DFE1">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68CCF6DA">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2490AC1A">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6B69DD54">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3366F721">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6AFFB3A6">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3CEBCDDD">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5E04E2DD">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3A1F4B2E">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71DA6811">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4"/>
                <w:position w:val="6"/>
                <w:sz w:val="19"/>
                <w:szCs w:val="19"/>
              </w:rPr>
              <w:t>特色</w:t>
            </w:r>
          </w:p>
          <w:p w14:paraId="595CAC85">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1"/>
                <w:sz w:val="19"/>
                <w:szCs w:val="19"/>
              </w:rPr>
              <w:t>活力</w:t>
            </w:r>
          </w:p>
        </w:tc>
        <w:tc>
          <w:tcPr>
            <w:tcW w:w="670" w:type="dxa"/>
            <w:vAlign w:val="center"/>
          </w:tcPr>
          <w:p w14:paraId="6B6E7335">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3"/>
                <w:szCs w:val="21"/>
              </w:rPr>
              <w:t>序号</w:t>
            </w:r>
          </w:p>
        </w:tc>
        <w:tc>
          <w:tcPr>
            <w:tcW w:w="808" w:type="dxa"/>
            <w:gridSpan w:val="2"/>
            <w:vAlign w:val="center"/>
          </w:tcPr>
          <w:p w14:paraId="558BF717">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3"/>
                <w:szCs w:val="21"/>
              </w:rPr>
              <w:t>指</w:t>
            </w:r>
            <w:r>
              <w:rPr>
                <w:rFonts w:hint="default" w:ascii="Times New Roman" w:hAnsi="Times New Roman" w:eastAsia="仿宋_GB2312" w:cs="Times New Roman"/>
                <w:spacing w:val="-2"/>
                <w:szCs w:val="21"/>
              </w:rPr>
              <w:t>标项</w:t>
            </w:r>
          </w:p>
        </w:tc>
        <w:tc>
          <w:tcPr>
            <w:tcW w:w="7554" w:type="dxa"/>
            <w:gridSpan w:val="8"/>
            <w:vAlign w:val="center"/>
          </w:tcPr>
          <w:p w14:paraId="09901A67">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
                <w:szCs w:val="21"/>
              </w:rPr>
              <w:t>数据采</w:t>
            </w:r>
            <w:r>
              <w:rPr>
                <w:rFonts w:hint="default" w:ascii="Times New Roman" w:hAnsi="Times New Roman" w:eastAsia="仿宋_GB2312" w:cs="Times New Roman"/>
                <w:szCs w:val="21"/>
              </w:rPr>
              <w:t>集与现场调研结合</w:t>
            </w:r>
          </w:p>
        </w:tc>
      </w:tr>
      <w:tr w14:paraId="7ADB89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3" w:hRule="atLeast"/>
          <w:jc w:val="center"/>
        </w:trPr>
        <w:tc>
          <w:tcPr>
            <w:tcW w:w="485" w:type="dxa"/>
            <w:vMerge w:val="continue"/>
            <w:tcBorders>
              <w:left w:val="single" w:color="auto" w:sz="4" w:space="0"/>
            </w:tcBorders>
          </w:tcPr>
          <w:p w14:paraId="0DF07E89">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Pr>
          <w:p w14:paraId="29EA7DE4">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p>
        </w:tc>
        <w:tc>
          <w:tcPr>
            <w:tcW w:w="670" w:type="dxa"/>
            <w:vMerge w:val="restart"/>
            <w:tcBorders>
              <w:bottom w:val="nil"/>
            </w:tcBorders>
            <w:vAlign w:val="center"/>
          </w:tcPr>
          <w:p w14:paraId="7DDFCFF5">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rPr>
              <w:t>8</w:t>
            </w:r>
          </w:p>
        </w:tc>
        <w:tc>
          <w:tcPr>
            <w:tcW w:w="808" w:type="dxa"/>
            <w:gridSpan w:val="2"/>
            <w:vMerge w:val="restart"/>
            <w:tcBorders>
              <w:bottom w:val="nil"/>
            </w:tcBorders>
            <w:vAlign w:val="center"/>
          </w:tcPr>
          <w:p w14:paraId="70E55F73">
            <w:pPr>
              <w:keepNext w:val="0"/>
              <w:keepLines w:val="0"/>
              <w:pageBreakBefore w:val="0"/>
              <w:widowControl w:val="0"/>
              <w:kinsoku/>
              <w:wordWrap/>
              <w:overflowPunct/>
              <w:topLinePunct w:val="0"/>
              <w:autoSpaceDE/>
              <w:autoSpaceDN/>
              <w:bidi w:val="0"/>
              <w:adjustRightInd/>
              <w:snapToGrid/>
              <w:spacing w:line="260" w:lineRule="exact"/>
              <w:ind w:left="0" w:right="109"/>
              <w:jc w:val="center"/>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16"/>
                <w:sz w:val="19"/>
                <w:szCs w:val="19"/>
              </w:rPr>
              <w:t>老旧商</w:t>
            </w:r>
            <w:r>
              <w:rPr>
                <w:rFonts w:hint="default" w:ascii="Times New Roman" w:hAnsi="Times New Roman" w:eastAsia="仿宋_GB2312" w:cs="Times New Roman"/>
                <w:sz w:val="19"/>
                <w:szCs w:val="19"/>
              </w:rPr>
              <w:t xml:space="preserve"> </w:t>
            </w:r>
            <w:r>
              <w:rPr>
                <w:rFonts w:hint="default" w:ascii="Times New Roman" w:hAnsi="Times New Roman" w:eastAsia="仿宋_GB2312" w:cs="Times New Roman"/>
                <w:spacing w:val="6"/>
                <w:sz w:val="19"/>
                <w:szCs w:val="19"/>
              </w:rPr>
              <w:t>业</w:t>
            </w:r>
            <w:r>
              <w:rPr>
                <w:rFonts w:hint="default" w:ascii="Times New Roman" w:hAnsi="Times New Roman" w:eastAsia="仿宋_GB2312" w:cs="Times New Roman"/>
                <w:spacing w:val="5"/>
                <w:sz w:val="19"/>
                <w:szCs w:val="19"/>
              </w:rPr>
              <w:t>街区</w:t>
            </w:r>
          </w:p>
        </w:tc>
        <w:tc>
          <w:tcPr>
            <w:tcW w:w="1590" w:type="dxa"/>
            <w:gridSpan w:val="2"/>
            <w:vAlign w:val="center"/>
          </w:tcPr>
          <w:p w14:paraId="35D06022">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p w14:paraId="7F524251">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7"/>
                <w:sz w:val="19"/>
                <w:szCs w:val="19"/>
              </w:rPr>
              <w:t>业</w:t>
            </w:r>
            <w:r>
              <w:rPr>
                <w:rFonts w:hint="default" w:ascii="Times New Roman" w:hAnsi="Times New Roman" w:eastAsia="仿宋_GB2312" w:cs="Times New Roman"/>
                <w:spacing w:val="6"/>
                <w:sz w:val="19"/>
                <w:szCs w:val="19"/>
              </w:rPr>
              <w:t>态集聚</w:t>
            </w:r>
          </w:p>
        </w:tc>
        <w:tc>
          <w:tcPr>
            <w:tcW w:w="5964" w:type="dxa"/>
            <w:gridSpan w:val="6"/>
            <w:vAlign w:val="center"/>
          </w:tcPr>
          <w:p w14:paraId="5CDBB9DB">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4"/>
                <w:sz w:val="19"/>
                <w:szCs w:val="19"/>
              </w:rPr>
              <w:t>□单个功能业态占比不超过 70</w:t>
            </w:r>
            <w:r>
              <w:rPr>
                <w:rFonts w:hint="default" w:ascii="Times New Roman" w:hAnsi="Times New Roman" w:eastAsia="仿宋_GB2312" w:cs="Times New Roman"/>
                <w:spacing w:val="3"/>
                <w:sz w:val="19"/>
                <w:szCs w:val="19"/>
              </w:rPr>
              <w:t>%</w:t>
            </w:r>
          </w:p>
          <w:p w14:paraId="2D6F606A">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14"/>
                <w:sz w:val="19"/>
                <w:szCs w:val="19"/>
              </w:rPr>
              <w:t>□沿街店铺密度（每百米个数）</w:t>
            </w:r>
          </w:p>
          <w:p w14:paraId="7FFB4788">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1"/>
                <w:sz w:val="19"/>
                <w:szCs w:val="19"/>
              </w:rPr>
              <w:t>□</w:t>
            </w:r>
            <w:r>
              <w:rPr>
                <w:rFonts w:hint="default" w:ascii="Times New Roman" w:hAnsi="Times New Roman" w:eastAsia="仿宋_GB2312" w:cs="Times New Roman"/>
                <w:sz w:val="19"/>
                <w:szCs w:val="19"/>
              </w:rPr>
              <w:t>其他</w:t>
            </w:r>
          </w:p>
        </w:tc>
      </w:tr>
      <w:tr w14:paraId="1608A4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 w:hRule="atLeast"/>
          <w:jc w:val="center"/>
        </w:trPr>
        <w:tc>
          <w:tcPr>
            <w:tcW w:w="485" w:type="dxa"/>
            <w:vMerge w:val="continue"/>
            <w:tcBorders>
              <w:left w:val="single" w:color="auto" w:sz="4" w:space="0"/>
            </w:tcBorders>
          </w:tcPr>
          <w:p w14:paraId="1ED31CCF">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Pr>
          <w:p w14:paraId="3B8ACE96">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70" w:type="dxa"/>
            <w:vMerge w:val="continue"/>
            <w:tcBorders>
              <w:top w:val="nil"/>
              <w:bottom w:val="nil"/>
            </w:tcBorders>
            <w:vAlign w:val="center"/>
          </w:tcPr>
          <w:p w14:paraId="00E545A6">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tc>
        <w:tc>
          <w:tcPr>
            <w:tcW w:w="808" w:type="dxa"/>
            <w:gridSpan w:val="2"/>
            <w:vMerge w:val="continue"/>
            <w:tcBorders>
              <w:top w:val="nil"/>
              <w:bottom w:val="nil"/>
            </w:tcBorders>
            <w:vAlign w:val="center"/>
          </w:tcPr>
          <w:p w14:paraId="03AB4E20">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tc>
        <w:tc>
          <w:tcPr>
            <w:tcW w:w="1590" w:type="dxa"/>
            <w:gridSpan w:val="2"/>
            <w:vAlign w:val="center"/>
          </w:tcPr>
          <w:p w14:paraId="6E20C0CF">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p w14:paraId="5E643060">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7"/>
                <w:sz w:val="19"/>
                <w:szCs w:val="19"/>
              </w:rPr>
              <w:t>开</w:t>
            </w:r>
            <w:r>
              <w:rPr>
                <w:rFonts w:hint="default" w:ascii="Times New Roman" w:hAnsi="Times New Roman" w:eastAsia="仿宋_GB2312" w:cs="Times New Roman"/>
                <w:spacing w:val="6"/>
                <w:sz w:val="19"/>
                <w:szCs w:val="19"/>
              </w:rPr>
              <w:t>敞空间</w:t>
            </w:r>
          </w:p>
        </w:tc>
        <w:tc>
          <w:tcPr>
            <w:tcW w:w="5964" w:type="dxa"/>
            <w:gridSpan w:val="6"/>
            <w:vAlign w:val="center"/>
          </w:tcPr>
          <w:p w14:paraId="608ECFA0">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pacing w:val="4"/>
                <w:sz w:val="19"/>
                <w:szCs w:val="19"/>
              </w:rPr>
            </w:pPr>
            <w:r>
              <w:rPr>
                <w:rFonts w:hint="default" w:ascii="Times New Roman" w:hAnsi="Times New Roman" w:eastAsia="仿宋_GB2312" w:cs="Times New Roman"/>
                <w:spacing w:val="4"/>
                <w:sz w:val="19"/>
                <w:szCs w:val="19"/>
              </w:rPr>
              <w:t>□每 50 米有 1 处休息空间及设施</w:t>
            </w:r>
          </w:p>
          <w:p w14:paraId="399B0A25">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4"/>
                <w:sz w:val="19"/>
                <w:szCs w:val="19"/>
              </w:rPr>
              <w:t>□其他____</w:t>
            </w:r>
          </w:p>
        </w:tc>
      </w:tr>
      <w:tr w14:paraId="7C994A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jc w:val="center"/>
        </w:trPr>
        <w:tc>
          <w:tcPr>
            <w:tcW w:w="485" w:type="dxa"/>
            <w:vMerge w:val="continue"/>
            <w:tcBorders>
              <w:left w:val="single" w:color="auto" w:sz="4" w:space="0"/>
            </w:tcBorders>
          </w:tcPr>
          <w:p w14:paraId="0EB2752D">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Pr>
          <w:p w14:paraId="5D629E0F">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70" w:type="dxa"/>
            <w:vMerge w:val="continue"/>
            <w:tcBorders>
              <w:top w:val="nil"/>
              <w:bottom w:val="nil"/>
            </w:tcBorders>
            <w:vAlign w:val="center"/>
          </w:tcPr>
          <w:p w14:paraId="2160E1BA">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tc>
        <w:tc>
          <w:tcPr>
            <w:tcW w:w="808" w:type="dxa"/>
            <w:gridSpan w:val="2"/>
            <w:vMerge w:val="continue"/>
            <w:tcBorders>
              <w:top w:val="nil"/>
              <w:bottom w:val="nil"/>
            </w:tcBorders>
            <w:vAlign w:val="center"/>
          </w:tcPr>
          <w:p w14:paraId="2B56F6DB">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tc>
        <w:tc>
          <w:tcPr>
            <w:tcW w:w="1590" w:type="dxa"/>
            <w:gridSpan w:val="2"/>
            <w:vAlign w:val="center"/>
          </w:tcPr>
          <w:p w14:paraId="03F474DD">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特色化品牌</w:t>
            </w:r>
            <w:r>
              <w:rPr>
                <w:rFonts w:hint="default" w:ascii="Times New Roman" w:hAnsi="Times New Roman" w:eastAsia="仿宋_GB2312" w:cs="Times New Roman"/>
                <w:spacing w:val="7"/>
                <w:sz w:val="19"/>
                <w:szCs w:val="19"/>
              </w:rPr>
              <w:t>化</w:t>
            </w:r>
          </w:p>
        </w:tc>
        <w:tc>
          <w:tcPr>
            <w:tcW w:w="5964" w:type="dxa"/>
            <w:gridSpan w:val="6"/>
            <w:vAlign w:val="center"/>
          </w:tcPr>
          <w:p w14:paraId="0A39D7D4">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16"/>
                <w:sz w:val="19"/>
                <w:szCs w:val="19"/>
              </w:rPr>
              <w:t>□有</w:t>
            </w:r>
            <w:r>
              <w:rPr>
                <w:rFonts w:hint="default" w:ascii="Times New Roman" w:hAnsi="Times New Roman" w:eastAsia="仿宋_GB2312" w:cs="Times New Roman"/>
                <w:spacing w:val="8"/>
                <w:sz w:val="19"/>
                <w:szCs w:val="19"/>
              </w:rPr>
              <w:t>塑造历史记忆、民族特色和文化传承的景观或设施</w:t>
            </w:r>
          </w:p>
          <w:p w14:paraId="623EB7FE">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1"/>
                <w:sz w:val="19"/>
                <w:szCs w:val="19"/>
              </w:rPr>
              <w:t>□</w:t>
            </w:r>
            <w:r>
              <w:rPr>
                <w:rFonts w:hint="default" w:ascii="Times New Roman" w:hAnsi="Times New Roman" w:eastAsia="仿宋_GB2312" w:cs="Times New Roman"/>
                <w:sz w:val="19"/>
                <w:szCs w:val="19"/>
              </w:rPr>
              <w:t>其他</w:t>
            </w:r>
          </w:p>
        </w:tc>
      </w:tr>
      <w:tr w14:paraId="4BDFBC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3" w:hRule="atLeast"/>
          <w:jc w:val="center"/>
        </w:trPr>
        <w:tc>
          <w:tcPr>
            <w:tcW w:w="485" w:type="dxa"/>
            <w:vMerge w:val="continue"/>
            <w:tcBorders>
              <w:left w:val="single" w:color="auto" w:sz="4" w:space="0"/>
            </w:tcBorders>
          </w:tcPr>
          <w:p w14:paraId="3346C5C0">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Pr>
          <w:p w14:paraId="7FBCCCF4">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70" w:type="dxa"/>
            <w:vMerge w:val="continue"/>
            <w:tcBorders>
              <w:top w:val="nil"/>
            </w:tcBorders>
            <w:vAlign w:val="center"/>
          </w:tcPr>
          <w:p w14:paraId="66939D9B">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tc>
        <w:tc>
          <w:tcPr>
            <w:tcW w:w="808" w:type="dxa"/>
            <w:gridSpan w:val="2"/>
            <w:vMerge w:val="continue"/>
            <w:tcBorders>
              <w:top w:val="nil"/>
            </w:tcBorders>
            <w:vAlign w:val="center"/>
          </w:tcPr>
          <w:p w14:paraId="3F44F886">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tc>
        <w:tc>
          <w:tcPr>
            <w:tcW w:w="1590" w:type="dxa"/>
            <w:gridSpan w:val="2"/>
            <w:vAlign w:val="center"/>
          </w:tcPr>
          <w:p w14:paraId="59AB6CBE">
            <w:pPr>
              <w:keepNext w:val="0"/>
              <w:keepLines w:val="0"/>
              <w:pageBreakBefore w:val="0"/>
              <w:widowControl w:val="0"/>
              <w:kinsoku/>
              <w:wordWrap/>
              <w:overflowPunct/>
              <w:topLinePunct w:val="0"/>
              <w:autoSpaceDE/>
              <w:autoSpaceDN/>
              <w:bidi w:val="0"/>
              <w:adjustRightInd/>
              <w:snapToGrid/>
              <w:spacing w:line="260" w:lineRule="exact"/>
              <w:ind w:left="0" w:right="192"/>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数字化消费场景</w:t>
            </w:r>
            <w:r>
              <w:rPr>
                <w:rFonts w:hint="default" w:ascii="Times New Roman" w:hAnsi="Times New Roman" w:eastAsia="仿宋_GB2312" w:cs="Times New Roman"/>
                <w:spacing w:val="4"/>
                <w:sz w:val="19"/>
                <w:szCs w:val="19"/>
              </w:rPr>
              <w:t>应</w:t>
            </w:r>
            <w:r>
              <w:rPr>
                <w:rFonts w:hint="default" w:ascii="Times New Roman" w:hAnsi="Times New Roman" w:eastAsia="仿宋_GB2312" w:cs="Times New Roman"/>
                <w:spacing w:val="3"/>
                <w:sz w:val="19"/>
                <w:szCs w:val="19"/>
              </w:rPr>
              <w:t>用</w:t>
            </w:r>
          </w:p>
        </w:tc>
        <w:tc>
          <w:tcPr>
            <w:tcW w:w="5964" w:type="dxa"/>
            <w:gridSpan w:val="6"/>
            <w:vAlign w:val="center"/>
          </w:tcPr>
          <w:p w14:paraId="64B3E30D">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□有统一管理的智能安全监控设施</w:t>
            </w:r>
          </w:p>
          <w:p w14:paraId="2C841276">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16"/>
                <w:sz w:val="19"/>
                <w:szCs w:val="19"/>
              </w:rPr>
              <w:t>□有</w:t>
            </w:r>
            <w:r>
              <w:rPr>
                <w:rFonts w:hint="default" w:ascii="Times New Roman" w:hAnsi="Times New Roman" w:eastAsia="仿宋_GB2312" w:cs="Times New Roman"/>
                <w:spacing w:val="11"/>
                <w:sz w:val="19"/>
                <w:szCs w:val="19"/>
              </w:rPr>
              <w:t>统</w:t>
            </w:r>
            <w:r>
              <w:rPr>
                <w:rFonts w:hint="default" w:ascii="Times New Roman" w:hAnsi="Times New Roman" w:eastAsia="仿宋_GB2312" w:cs="Times New Roman"/>
                <w:spacing w:val="8"/>
                <w:sz w:val="19"/>
                <w:szCs w:val="19"/>
              </w:rPr>
              <w:t>一的信息发布、导购促销、重大活动等信息服务平</w:t>
            </w:r>
          </w:p>
          <w:p w14:paraId="45BD31A4">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5"/>
                <w:sz w:val="19"/>
                <w:szCs w:val="19"/>
              </w:rPr>
              <w:t>□</w:t>
            </w:r>
            <w:r>
              <w:rPr>
                <w:rFonts w:hint="default" w:ascii="Times New Roman" w:hAnsi="Times New Roman" w:eastAsia="仿宋_GB2312" w:cs="Times New Roman"/>
                <w:spacing w:val="3"/>
                <w:sz w:val="19"/>
                <w:szCs w:val="19"/>
              </w:rPr>
              <w:t>其他____</w:t>
            </w:r>
          </w:p>
        </w:tc>
      </w:tr>
      <w:tr w14:paraId="365A76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jc w:val="center"/>
        </w:trPr>
        <w:tc>
          <w:tcPr>
            <w:tcW w:w="485" w:type="dxa"/>
            <w:vMerge w:val="continue"/>
            <w:tcBorders>
              <w:left w:val="single" w:color="auto" w:sz="4" w:space="0"/>
            </w:tcBorders>
          </w:tcPr>
          <w:p w14:paraId="5F2448F9">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Pr>
          <w:p w14:paraId="5FA934B4">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70" w:type="dxa"/>
            <w:vMerge w:val="restart"/>
            <w:vAlign w:val="center"/>
          </w:tcPr>
          <w:p w14:paraId="1E7A9738">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rPr>
              <w:t>9</w:t>
            </w:r>
          </w:p>
        </w:tc>
        <w:tc>
          <w:tcPr>
            <w:tcW w:w="808" w:type="dxa"/>
            <w:gridSpan w:val="2"/>
            <w:vMerge w:val="restart"/>
            <w:vAlign w:val="center"/>
          </w:tcPr>
          <w:p w14:paraId="378AADFC">
            <w:pPr>
              <w:keepNext w:val="0"/>
              <w:keepLines w:val="0"/>
              <w:pageBreakBefore w:val="0"/>
              <w:widowControl w:val="0"/>
              <w:kinsoku/>
              <w:wordWrap/>
              <w:overflowPunct/>
              <w:topLinePunct w:val="0"/>
              <w:autoSpaceDE/>
              <w:autoSpaceDN/>
              <w:bidi w:val="0"/>
              <w:adjustRightInd/>
              <w:snapToGrid/>
              <w:spacing w:line="260" w:lineRule="exact"/>
              <w:ind w:left="0" w:right="125" w:hanging="214"/>
              <w:jc w:val="center"/>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rPr>
              <w:t>老旧</w:t>
            </w:r>
          </w:p>
          <w:p w14:paraId="4E48F78E">
            <w:pPr>
              <w:keepNext w:val="0"/>
              <w:keepLines w:val="0"/>
              <w:pageBreakBefore w:val="0"/>
              <w:widowControl w:val="0"/>
              <w:kinsoku/>
              <w:wordWrap/>
              <w:overflowPunct/>
              <w:topLinePunct w:val="0"/>
              <w:autoSpaceDE/>
              <w:autoSpaceDN/>
              <w:bidi w:val="0"/>
              <w:adjustRightInd/>
              <w:snapToGrid/>
              <w:spacing w:line="260" w:lineRule="exact"/>
              <w:ind w:left="0" w:right="125" w:hanging="214"/>
              <w:jc w:val="center"/>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rPr>
              <w:t>厂区</w:t>
            </w:r>
          </w:p>
        </w:tc>
        <w:tc>
          <w:tcPr>
            <w:tcW w:w="1590" w:type="dxa"/>
            <w:gridSpan w:val="2"/>
            <w:vMerge w:val="restart"/>
            <w:tcBorders>
              <w:bottom w:val="nil"/>
            </w:tcBorders>
            <w:vAlign w:val="center"/>
          </w:tcPr>
          <w:p w14:paraId="7F013114">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p w14:paraId="5BD879D2">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5"/>
                <w:sz w:val="19"/>
                <w:szCs w:val="19"/>
              </w:rPr>
              <w:t>空</w:t>
            </w:r>
            <w:r>
              <w:rPr>
                <w:rFonts w:hint="default" w:ascii="Times New Roman" w:hAnsi="Times New Roman" w:eastAsia="仿宋_GB2312" w:cs="Times New Roman"/>
                <w:spacing w:val="3"/>
                <w:sz w:val="19"/>
                <w:szCs w:val="19"/>
              </w:rPr>
              <w:t>间利用</w:t>
            </w:r>
          </w:p>
        </w:tc>
        <w:tc>
          <w:tcPr>
            <w:tcW w:w="5964" w:type="dxa"/>
            <w:gridSpan w:val="6"/>
            <w:vAlign w:val="center"/>
          </w:tcPr>
          <w:p w14:paraId="1A872886">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7"/>
                <w:sz w:val="19"/>
                <w:szCs w:val="19"/>
              </w:rPr>
              <w:t>工业仓储建筑空置率____</w:t>
            </w:r>
            <w:r>
              <w:rPr>
                <w:rFonts w:hint="default" w:ascii="Times New Roman" w:hAnsi="Times New Roman" w:eastAsia="仿宋_GB2312" w:cs="Times New Roman"/>
                <w:spacing w:val="6"/>
                <w:sz w:val="19"/>
                <w:szCs w:val="19"/>
              </w:rPr>
              <w:t>%</w:t>
            </w:r>
          </w:p>
        </w:tc>
      </w:tr>
      <w:tr w14:paraId="48990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485" w:type="dxa"/>
            <w:vMerge w:val="continue"/>
            <w:tcBorders>
              <w:left w:val="single" w:color="auto" w:sz="4" w:space="0"/>
            </w:tcBorders>
          </w:tcPr>
          <w:p w14:paraId="767D1585">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Pr>
          <w:p w14:paraId="1CFA5C6E">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70" w:type="dxa"/>
            <w:vMerge w:val="continue"/>
          </w:tcPr>
          <w:p w14:paraId="0EF3E995">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808" w:type="dxa"/>
            <w:gridSpan w:val="2"/>
            <w:vMerge w:val="continue"/>
          </w:tcPr>
          <w:p w14:paraId="0FDDB81D">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1590" w:type="dxa"/>
            <w:gridSpan w:val="2"/>
            <w:vMerge w:val="continue"/>
            <w:tcBorders>
              <w:top w:val="nil"/>
            </w:tcBorders>
            <w:vAlign w:val="center"/>
          </w:tcPr>
          <w:p w14:paraId="4AAF48C7">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5964" w:type="dxa"/>
            <w:gridSpan w:val="6"/>
            <w:vAlign w:val="center"/>
          </w:tcPr>
          <w:p w14:paraId="5EDEEDA7">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7"/>
                <w:sz w:val="19"/>
                <w:szCs w:val="19"/>
              </w:rPr>
              <w:t>工业仓储用地容积率____</w:t>
            </w:r>
            <w:r>
              <w:rPr>
                <w:rFonts w:hint="default" w:ascii="Times New Roman" w:hAnsi="Times New Roman" w:eastAsia="仿宋_GB2312" w:cs="Times New Roman"/>
                <w:spacing w:val="6"/>
                <w:sz w:val="19"/>
                <w:szCs w:val="19"/>
              </w:rPr>
              <w:t>%</w:t>
            </w:r>
          </w:p>
        </w:tc>
      </w:tr>
      <w:tr w14:paraId="7E0D1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jc w:val="center"/>
        </w:trPr>
        <w:tc>
          <w:tcPr>
            <w:tcW w:w="485" w:type="dxa"/>
            <w:vMerge w:val="continue"/>
            <w:tcBorders>
              <w:left w:val="single" w:color="auto" w:sz="4" w:space="0"/>
            </w:tcBorders>
          </w:tcPr>
          <w:p w14:paraId="4426D361">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Pr>
          <w:p w14:paraId="56B07FD8">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70" w:type="dxa"/>
            <w:vMerge w:val="continue"/>
          </w:tcPr>
          <w:p w14:paraId="697A22B6">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808" w:type="dxa"/>
            <w:gridSpan w:val="2"/>
            <w:vMerge w:val="continue"/>
          </w:tcPr>
          <w:p w14:paraId="635F4B98">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1590" w:type="dxa"/>
            <w:gridSpan w:val="2"/>
            <w:vMerge w:val="restart"/>
            <w:tcBorders>
              <w:bottom w:val="nil"/>
            </w:tcBorders>
            <w:vAlign w:val="center"/>
          </w:tcPr>
          <w:p w14:paraId="3C847284">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p w14:paraId="16D0AC76">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p w14:paraId="2C8B9D1F">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7"/>
                <w:sz w:val="19"/>
                <w:szCs w:val="19"/>
              </w:rPr>
              <w:t>经</w:t>
            </w:r>
            <w:r>
              <w:rPr>
                <w:rFonts w:hint="default" w:ascii="Times New Roman" w:hAnsi="Times New Roman" w:eastAsia="仿宋_GB2312" w:cs="Times New Roman"/>
                <w:spacing w:val="6"/>
                <w:sz w:val="19"/>
                <w:szCs w:val="19"/>
              </w:rPr>
              <w:t>济产出</w:t>
            </w:r>
          </w:p>
        </w:tc>
        <w:tc>
          <w:tcPr>
            <w:tcW w:w="5964" w:type="dxa"/>
            <w:gridSpan w:val="6"/>
            <w:vAlign w:val="center"/>
          </w:tcPr>
          <w:p w14:paraId="5C9BD2AB">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14"/>
                <w:sz w:val="19"/>
                <w:szCs w:val="19"/>
              </w:rPr>
              <w:t>工</w:t>
            </w:r>
            <w:r>
              <w:rPr>
                <w:rFonts w:hint="default" w:ascii="Times New Roman" w:hAnsi="Times New Roman" w:eastAsia="仿宋_GB2312" w:cs="Times New Roman"/>
                <w:spacing w:val="12"/>
                <w:sz w:val="19"/>
                <w:szCs w:val="19"/>
              </w:rPr>
              <w:t>业</w:t>
            </w:r>
            <w:r>
              <w:rPr>
                <w:rFonts w:hint="default" w:ascii="Times New Roman" w:hAnsi="Times New Roman" w:eastAsia="仿宋_GB2312" w:cs="Times New Roman"/>
                <w:spacing w:val="7"/>
                <w:sz w:val="19"/>
                <w:szCs w:val="19"/>
              </w:rPr>
              <w:t>仓储用地单位产出情况____</w:t>
            </w:r>
          </w:p>
        </w:tc>
      </w:tr>
      <w:tr w14:paraId="5725FF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jc w:val="center"/>
        </w:trPr>
        <w:tc>
          <w:tcPr>
            <w:tcW w:w="485" w:type="dxa"/>
            <w:vMerge w:val="continue"/>
            <w:tcBorders>
              <w:left w:val="single" w:color="auto" w:sz="4" w:space="0"/>
            </w:tcBorders>
          </w:tcPr>
          <w:p w14:paraId="4BC4B30B">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Pr>
          <w:p w14:paraId="62F46541">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70" w:type="dxa"/>
            <w:vMerge w:val="continue"/>
          </w:tcPr>
          <w:p w14:paraId="1A24F0B6">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808" w:type="dxa"/>
            <w:gridSpan w:val="2"/>
            <w:vMerge w:val="continue"/>
          </w:tcPr>
          <w:p w14:paraId="24E0BE59">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1590" w:type="dxa"/>
            <w:gridSpan w:val="2"/>
            <w:vMerge w:val="continue"/>
            <w:tcBorders>
              <w:top w:val="nil"/>
              <w:bottom w:val="nil"/>
            </w:tcBorders>
            <w:vAlign w:val="center"/>
          </w:tcPr>
          <w:p w14:paraId="6062A98F">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5964" w:type="dxa"/>
            <w:gridSpan w:val="6"/>
            <w:vAlign w:val="center"/>
          </w:tcPr>
          <w:p w14:paraId="6BD7E3CD">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11"/>
                <w:sz w:val="19"/>
                <w:szCs w:val="19"/>
              </w:rPr>
              <w:t>工</w:t>
            </w:r>
            <w:r>
              <w:rPr>
                <w:rFonts w:hint="default" w:ascii="Times New Roman" w:hAnsi="Times New Roman" w:eastAsia="仿宋_GB2312" w:cs="Times New Roman"/>
                <w:spacing w:val="8"/>
                <w:sz w:val="19"/>
                <w:szCs w:val="19"/>
              </w:rPr>
              <w:t>业仓储单位面积用地生产能耗情况____</w:t>
            </w:r>
          </w:p>
        </w:tc>
      </w:tr>
      <w:tr w14:paraId="30BEC0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485" w:type="dxa"/>
            <w:vMerge w:val="continue"/>
            <w:tcBorders>
              <w:left w:val="single" w:color="auto" w:sz="4" w:space="0"/>
            </w:tcBorders>
          </w:tcPr>
          <w:p w14:paraId="75FD93E9">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Pr>
          <w:p w14:paraId="3F525E79">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70" w:type="dxa"/>
            <w:vMerge w:val="continue"/>
          </w:tcPr>
          <w:p w14:paraId="331EE9C2">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808" w:type="dxa"/>
            <w:gridSpan w:val="2"/>
            <w:vMerge w:val="continue"/>
          </w:tcPr>
          <w:p w14:paraId="18AD940C">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1590" w:type="dxa"/>
            <w:gridSpan w:val="2"/>
            <w:vMerge w:val="continue"/>
            <w:tcBorders>
              <w:top w:val="nil"/>
            </w:tcBorders>
            <w:vAlign w:val="center"/>
          </w:tcPr>
          <w:p w14:paraId="0B00AA89">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5964" w:type="dxa"/>
            <w:gridSpan w:val="6"/>
            <w:vAlign w:val="center"/>
          </w:tcPr>
          <w:p w14:paraId="5183D7CF">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14"/>
                <w:sz w:val="19"/>
                <w:szCs w:val="19"/>
              </w:rPr>
              <w:t>工</w:t>
            </w:r>
            <w:r>
              <w:rPr>
                <w:rFonts w:hint="default" w:ascii="Times New Roman" w:hAnsi="Times New Roman" w:eastAsia="仿宋_GB2312" w:cs="Times New Roman"/>
                <w:spacing w:val="12"/>
                <w:sz w:val="19"/>
                <w:szCs w:val="19"/>
              </w:rPr>
              <w:t>业</w:t>
            </w:r>
            <w:r>
              <w:rPr>
                <w:rFonts w:hint="default" w:ascii="Times New Roman" w:hAnsi="Times New Roman" w:eastAsia="仿宋_GB2312" w:cs="Times New Roman"/>
                <w:spacing w:val="7"/>
                <w:sz w:val="19"/>
                <w:szCs w:val="19"/>
              </w:rPr>
              <w:t>仓储建筑单位面积租金____</w:t>
            </w:r>
          </w:p>
        </w:tc>
      </w:tr>
      <w:tr w14:paraId="0BFEA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jc w:val="center"/>
        </w:trPr>
        <w:tc>
          <w:tcPr>
            <w:tcW w:w="485" w:type="dxa"/>
            <w:vMerge w:val="continue"/>
            <w:tcBorders>
              <w:left w:val="single" w:color="auto" w:sz="4" w:space="0"/>
            </w:tcBorders>
          </w:tcPr>
          <w:p w14:paraId="2B3BA795">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Pr>
          <w:p w14:paraId="3061076A">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70" w:type="dxa"/>
            <w:vMerge w:val="continue"/>
          </w:tcPr>
          <w:p w14:paraId="06CF9371">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808" w:type="dxa"/>
            <w:gridSpan w:val="2"/>
            <w:vMerge w:val="continue"/>
          </w:tcPr>
          <w:p w14:paraId="3A0600BA">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1590" w:type="dxa"/>
            <w:gridSpan w:val="2"/>
            <w:vMerge w:val="restart"/>
            <w:tcBorders>
              <w:bottom w:val="nil"/>
            </w:tcBorders>
            <w:vAlign w:val="center"/>
          </w:tcPr>
          <w:p w14:paraId="23F5FA73">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p w14:paraId="15F82FFF">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6"/>
                <w:sz w:val="19"/>
                <w:szCs w:val="19"/>
              </w:rPr>
              <w:t>功</w:t>
            </w:r>
            <w:r>
              <w:rPr>
                <w:rFonts w:hint="default" w:ascii="Times New Roman" w:hAnsi="Times New Roman" w:eastAsia="仿宋_GB2312" w:cs="Times New Roman"/>
                <w:spacing w:val="5"/>
                <w:sz w:val="19"/>
                <w:szCs w:val="19"/>
              </w:rPr>
              <w:t>能业态</w:t>
            </w:r>
          </w:p>
        </w:tc>
        <w:tc>
          <w:tcPr>
            <w:tcW w:w="5964" w:type="dxa"/>
            <w:gridSpan w:val="6"/>
            <w:vAlign w:val="center"/>
          </w:tcPr>
          <w:p w14:paraId="6A9D34FC">
            <w:pPr>
              <w:keepNext w:val="0"/>
              <w:keepLines w:val="0"/>
              <w:pageBreakBefore w:val="0"/>
              <w:widowControl w:val="0"/>
              <w:kinsoku/>
              <w:wordWrap/>
              <w:overflowPunct/>
              <w:topLinePunct w:val="0"/>
              <w:autoSpaceDE/>
              <w:autoSpaceDN/>
              <w:bidi w:val="0"/>
              <w:adjustRightInd/>
              <w:snapToGrid/>
              <w:spacing w:line="260" w:lineRule="exact"/>
              <w:ind w:left="0" w:right="307" w:hanging="6"/>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16"/>
                <w:sz w:val="19"/>
                <w:szCs w:val="19"/>
              </w:rPr>
              <w:t>产</w:t>
            </w:r>
            <w:r>
              <w:rPr>
                <w:rFonts w:hint="default" w:ascii="Times New Roman" w:hAnsi="Times New Roman" w:eastAsia="仿宋_GB2312" w:cs="Times New Roman"/>
                <w:spacing w:val="9"/>
                <w:sz w:val="19"/>
                <w:szCs w:val="19"/>
              </w:rPr>
              <w:t>业业态为国家产业政策规定的禁止类、淘汰类产业，或</w:t>
            </w:r>
            <w:r>
              <w:rPr>
                <w:rFonts w:hint="default" w:ascii="Times New Roman" w:hAnsi="Times New Roman" w:eastAsia="仿宋_GB2312" w:cs="Times New Roman"/>
                <w:spacing w:val="14"/>
                <w:sz w:val="19"/>
                <w:szCs w:val="19"/>
              </w:rPr>
              <w:t>与所</w:t>
            </w:r>
            <w:r>
              <w:rPr>
                <w:rFonts w:hint="default" w:ascii="Times New Roman" w:hAnsi="Times New Roman" w:eastAsia="仿宋_GB2312" w:cs="Times New Roman"/>
                <w:spacing w:val="7"/>
                <w:sz w:val="19"/>
                <w:szCs w:val="19"/>
              </w:rPr>
              <w:t>在片区产业规划导向不符的____</w:t>
            </w:r>
          </w:p>
        </w:tc>
      </w:tr>
      <w:tr w14:paraId="7DBDBC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jc w:val="center"/>
        </w:trPr>
        <w:tc>
          <w:tcPr>
            <w:tcW w:w="485" w:type="dxa"/>
            <w:vMerge w:val="continue"/>
            <w:tcBorders>
              <w:left w:val="single" w:color="auto" w:sz="4" w:space="0"/>
            </w:tcBorders>
          </w:tcPr>
          <w:p w14:paraId="20E2CFC3">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Pr>
          <w:p w14:paraId="3694E2FE">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70" w:type="dxa"/>
            <w:vMerge w:val="continue"/>
          </w:tcPr>
          <w:p w14:paraId="05DFF9F7">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808" w:type="dxa"/>
            <w:gridSpan w:val="2"/>
            <w:vMerge w:val="continue"/>
          </w:tcPr>
          <w:p w14:paraId="17130F40">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1590" w:type="dxa"/>
            <w:gridSpan w:val="2"/>
            <w:vMerge w:val="continue"/>
            <w:tcBorders>
              <w:top w:val="nil"/>
            </w:tcBorders>
            <w:vAlign w:val="center"/>
          </w:tcPr>
          <w:p w14:paraId="77AD09AC">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5964" w:type="dxa"/>
            <w:gridSpan w:val="6"/>
            <w:vAlign w:val="center"/>
          </w:tcPr>
          <w:p w14:paraId="34C04564">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11"/>
                <w:sz w:val="19"/>
                <w:szCs w:val="19"/>
              </w:rPr>
              <w:t>经</w:t>
            </w:r>
            <w:r>
              <w:rPr>
                <w:rFonts w:hint="default" w:ascii="Times New Roman" w:hAnsi="Times New Roman" w:eastAsia="仿宋_GB2312" w:cs="Times New Roman"/>
                <w:spacing w:val="7"/>
                <w:sz w:val="19"/>
                <w:szCs w:val="19"/>
              </w:rPr>
              <w:t>营性功能业态占比</w:t>
            </w:r>
            <w:r>
              <w:rPr>
                <w:rFonts w:hint="default" w:ascii="Times New Roman" w:hAnsi="Times New Roman" w:eastAsia="仿宋_GB2312" w:cs="Times New Roman"/>
                <w:spacing w:val="7"/>
                <w:sz w:val="19"/>
                <w:szCs w:val="19"/>
                <w:u w:val="single"/>
              </w:rPr>
              <w:t>____</w:t>
            </w:r>
            <w:r>
              <w:rPr>
                <w:rFonts w:hint="default" w:ascii="Times New Roman" w:hAnsi="Times New Roman" w:eastAsia="仿宋_GB2312" w:cs="Times New Roman"/>
                <w:spacing w:val="7"/>
                <w:sz w:val="19"/>
                <w:szCs w:val="19"/>
              </w:rPr>
              <w:t>%</w:t>
            </w:r>
          </w:p>
        </w:tc>
      </w:tr>
      <w:tr w14:paraId="52DC86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485" w:type="dxa"/>
            <w:vMerge w:val="continue"/>
            <w:tcBorders>
              <w:left w:val="single" w:color="auto" w:sz="4" w:space="0"/>
            </w:tcBorders>
          </w:tcPr>
          <w:p w14:paraId="382EF039">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Pr>
          <w:p w14:paraId="6A10C568">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70" w:type="dxa"/>
            <w:vMerge w:val="continue"/>
          </w:tcPr>
          <w:p w14:paraId="53E04F7A">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808" w:type="dxa"/>
            <w:gridSpan w:val="2"/>
            <w:vMerge w:val="continue"/>
          </w:tcPr>
          <w:p w14:paraId="2B8D6AA5">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1590" w:type="dxa"/>
            <w:gridSpan w:val="2"/>
            <w:vMerge w:val="restart"/>
            <w:vAlign w:val="center"/>
          </w:tcPr>
          <w:p w14:paraId="061FE824">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6"/>
                <w:sz w:val="19"/>
                <w:szCs w:val="19"/>
              </w:rPr>
              <w:t>运营管理</w:t>
            </w:r>
          </w:p>
        </w:tc>
        <w:tc>
          <w:tcPr>
            <w:tcW w:w="5964" w:type="dxa"/>
            <w:gridSpan w:val="6"/>
            <w:vAlign w:val="center"/>
          </w:tcPr>
          <w:p w14:paraId="6B281B03">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□具有完备的物业管理组织体</w:t>
            </w:r>
            <w:r>
              <w:rPr>
                <w:rFonts w:hint="default" w:ascii="Times New Roman" w:hAnsi="Times New Roman" w:eastAsia="仿宋_GB2312" w:cs="Times New Roman"/>
                <w:spacing w:val="7"/>
                <w:sz w:val="19"/>
                <w:szCs w:val="19"/>
              </w:rPr>
              <w:t>系</w:t>
            </w:r>
          </w:p>
          <w:p w14:paraId="7F616977">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14"/>
                <w:sz w:val="19"/>
                <w:szCs w:val="19"/>
              </w:rPr>
              <w:t>□</w:t>
            </w:r>
            <w:r>
              <w:rPr>
                <w:rFonts w:hint="default" w:ascii="Times New Roman" w:hAnsi="Times New Roman" w:eastAsia="仿宋_GB2312" w:cs="Times New Roman"/>
                <w:spacing w:val="7"/>
                <w:sz w:val="19"/>
                <w:szCs w:val="19"/>
              </w:rPr>
              <w:t>具有专业的运营管理团队</w:t>
            </w:r>
          </w:p>
        </w:tc>
      </w:tr>
      <w:tr w14:paraId="0D2E3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jc w:val="center"/>
        </w:trPr>
        <w:tc>
          <w:tcPr>
            <w:tcW w:w="485" w:type="dxa"/>
            <w:vMerge w:val="continue"/>
            <w:tcBorders>
              <w:left w:val="single" w:color="auto" w:sz="4" w:space="0"/>
            </w:tcBorders>
          </w:tcPr>
          <w:p w14:paraId="115DDDD3">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Pr>
          <w:p w14:paraId="78998DCB">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70" w:type="dxa"/>
            <w:vMerge w:val="continue"/>
          </w:tcPr>
          <w:p w14:paraId="4647F39B">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808" w:type="dxa"/>
            <w:gridSpan w:val="2"/>
            <w:vMerge w:val="continue"/>
          </w:tcPr>
          <w:p w14:paraId="00A76B02">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1590" w:type="dxa"/>
            <w:gridSpan w:val="2"/>
            <w:vMerge w:val="continue"/>
            <w:vAlign w:val="center"/>
          </w:tcPr>
          <w:p w14:paraId="2C3DE530">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5964" w:type="dxa"/>
            <w:gridSpan w:val="6"/>
            <w:vAlign w:val="center"/>
          </w:tcPr>
          <w:p w14:paraId="239AB960">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6"/>
                <w:sz w:val="19"/>
                <w:szCs w:val="19"/>
              </w:rPr>
              <w:t>□</w:t>
            </w:r>
            <w:r>
              <w:rPr>
                <w:rFonts w:hint="default" w:ascii="Times New Roman" w:hAnsi="Times New Roman" w:eastAsia="仿宋_GB2312" w:cs="Times New Roman"/>
                <w:spacing w:val="3"/>
                <w:sz w:val="19"/>
                <w:szCs w:val="19"/>
              </w:rPr>
              <w:t>其他____</w:t>
            </w:r>
          </w:p>
        </w:tc>
      </w:tr>
      <w:tr w14:paraId="45B7A4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jc w:val="center"/>
        </w:trPr>
        <w:tc>
          <w:tcPr>
            <w:tcW w:w="485" w:type="dxa"/>
            <w:vMerge w:val="continue"/>
            <w:tcBorders>
              <w:left w:val="single" w:color="auto" w:sz="4" w:space="0"/>
            </w:tcBorders>
          </w:tcPr>
          <w:p w14:paraId="2280CEE2">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Pr>
          <w:p w14:paraId="42476458">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70" w:type="dxa"/>
            <w:vMerge w:val="restart"/>
            <w:tcBorders>
              <w:bottom w:val="nil"/>
            </w:tcBorders>
            <w:vAlign w:val="center"/>
          </w:tcPr>
          <w:p w14:paraId="3570FA02">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0B9ED475">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6159E21D">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04CB0E40">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3DC77C08">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37CE607A">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1E420375">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3"/>
                <w:sz w:val="19"/>
                <w:szCs w:val="19"/>
              </w:rPr>
              <w:t>10</w:t>
            </w:r>
          </w:p>
        </w:tc>
        <w:tc>
          <w:tcPr>
            <w:tcW w:w="808" w:type="dxa"/>
            <w:gridSpan w:val="2"/>
            <w:vMerge w:val="restart"/>
            <w:tcBorders>
              <w:bottom w:val="nil"/>
            </w:tcBorders>
            <w:vAlign w:val="center"/>
          </w:tcPr>
          <w:p w14:paraId="5E8B6072">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58C71885">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58BCBEC6">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6B3C9CDC">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5AAAB85F">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default" w:ascii="Times New Roman" w:hAnsi="Times New Roman" w:eastAsia="仿宋_GB2312" w:cs="Times New Roman"/>
              </w:rPr>
            </w:pPr>
          </w:p>
          <w:p w14:paraId="2D8AF499">
            <w:pPr>
              <w:keepNext w:val="0"/>
              <w:keepLines w:val="0"/>
              <w:pageBreakBefore w:val="0"/>
              <w:widowControl w:val="0"/>
              <w:kinsoku/>
              <w:wordWrap/>
              <w:overflowPunct/>
              <w:topLinePunct w:val="0"/>
              <w:autoSpaceDE/>
              <w:autoSpaceDN/>
              <w:bidi w:val="0"/>
              <w:adjustRightInd/>
              <w:snapToGrid/>
              <w:spacing w:line="260" w:lineRule="exact"/>
              <w:ind w:left="0" w:right="109" w:hanging="15"/>
              <w:jc w:val="center"/>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rPr>
              <w:t>老旧</w:t>
            </w:r>
          </w:p>
          <w:p w14:paraId="1FC64604">
            <w:pPr>
              <w:keepNext w:val="0"/>
              <w:keepLines w:val="0"/>
              <w:pageBreakBefore w:val="0"/>
              <w:widowControl w:val="0"/>
              <w:kinsoku/>
              <w:wordWrap/>
              <w:overflowPunct/>
              <w:topLinePunct w:val="0"/>
              <w:autoSpaceDE/>
              <w:autoSpaceDN/>
              <w:bidi w:val="0"/>
              <w:adjustRightInd/>
              <w:snapToGrid/>
              <w:spacing w:line="260" w:lineRule="exact"/>
              <w:ind w:left="0" w:right="109" w:hanging="15"/>
              <w:jc w:val="center"/>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z w:val="19"/>
                <w:szCs w:val="19"/>
              </w:rPr>
              <w:t>街区</w:t>
            </w:r>
          </w:p>
        </w:tc>
        <w:tc>
          <w:tcPr>
            <w:tcW w:w="1590" w:type="dxa"/>
            <w:gridSpan w:val="2"/>
            <w:vAlign w:val="center"/>
          </w:tcPr>
          <w:p w14:paraId="69D949BA">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pacing w:val="7"/>
                <w:sz w:val="19"/>
                <w:szCs w:val="19"/>
              </w:rPr>
            </w:pPr>
            <w:r>
              <w:rPr>
                <w:rFonts w:hint="default" w:ascii="Times New Roman" w:hAnsi="Times New Roman" w:eastAsia="仿宋_GB2312" w:cs="Times New Roman"/>
                <w:spacing w:val="7"/>
                <w:sz w:val="19"/>
                <w:szCs w:val="19"/>
              </w:rPr>
              <w:t>闲置空间资源</w:t>
            </w:r>
          </w:p>
          <w:p w14:paraId="2B479E9C">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7"/>
                <w:sz w:val="19"/>
                <w:szCs w:val="19"/>
              </w:rPr>
              <w:t>利用</w:t>
            </w:r>
          </w:p>
        </w:tc>
        <w:tc>
          <w:tcPr>
            <w:tcW w:w="5964" w:type="dxa"/>
            <w:gridSpan w:val="6"/>
            <w:vAlign w:val="center"/>
          </w:tcPr>
          <w:p w14:paraId="5F840595">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u w:val="single"/>
              </w:rPr>
            </w:pPr>
            <w:r>
              <w:rPr>
                <w:rFonts w:hint="default" w:ascii="Times New Roman" w:hAnsi="Times New Roman" w:eastAsia="仿宋_GB2312" w:cs="Times New Roman"/>
                <w:spacing w:val="16"/>
                <w:sz w:val="19"/>
                <w:szCs w:val="19"/>
              </w:rPr>
              <w:t>□识</w:t>
            </w:r>
            <w:r>
              <w:rPr>
                <w:rFonts w:hint="default" w:ascii="Times New Roman" w:hAnsi="Times New Roman" w:eastAsia="仿宋_GB2312" w:cs="Times New Roman"/>
                <w:spacing w:val="11"/>
                <w:sz w:val="19"/>
                <w:szCs w:val="19"/>
              </w:rPr>
              <w:t>别</w:t>
            </w:r>
            <w:r>
              <w:rPr>
                <w:rFonts w:hint="default" w:ascii="Times New Roman" w:hAnsi="Times New Roman" w:eastAsia="仿宋_GB2312" w:cs="Times New Roman"/>
                <w:spacing w:val="8"/>
                <w:sz w:val="19"/>
                <w:szCs w:val="19"/>
              </w:rPr>
              <w:t>小区内建成年代较早、空置率高的老旧建筑数量为</w:t>
            </w:r>
            <w:r>
              <w:rPr>
                <w:rFonts w:hint="default" w:ascii="Times New Roman" w:hAnsi="Times New Roman" w:eastAsia="仿宋_GB2312" w:cs="Times New Roman"/>
                <w:spacing w:val="3"/>
                <w:sz w:val="19"/>
                <w:szCs w:val="19"/>
              </w:rPr>
              <w:t>____</w:t>
            </w:r>
            <w:r>
              <w:rPr>
                <w:rFonts w:hint="default" w:ascii="Times New Roman" w:hAnsi="Times New Roman" w:eastAsia="仿宋_GB2312" w:cs="Times New Roman"/>
                <w:spacing w:val="8"/>
                <w:sz w:val="19"/>
                <w:szCs w:val="19"/>
                <w:u w:val="single"/>
              </w:rPr>
              <w:t xml:space="preserve">   </w:t>
            </w:r>
          </w:p>
          <w:p w14:paraId="200C5B7A">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6"/>
                <w:sz w:val="19"/>
                <w:szCs w:val="19"/>
              </w:rPr>
              <w:t>□</w:t>
            </w:r>
            <w:r>
              <w:rPr>
                <w:rFonts w:hint="default" w:ascii="Times New Roman" w:hAnsi="Times New Roman" w:eastAsia="仿宋_GB2312" w:cs="Times New Roman"/>
                <w:spacing w:val="3"/>
                <w:sz w:val="19"/>
                <w:szCs w:val="19"/>
              </w:rPr>
              <w:t>其他____</w:t>
            </w:r>
          </w:p>
        </w:tc>
      </w:tr>
      <w:tr w14:paraId="2F464B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5" w:hRule="atLeast"/>
          <w:jc w:val="center"/>
        </w:trPr>
        <w:tc>
          <w:tcPr>
            <w:tcW w:w="485" w:type="dxa"/>
            <w:vMerge w:val="continue"/>
            <w:tcBorders>
              <w:left w:val="single" w:color="auto" w:sz="4" w:space="0"/>
            </w:tcBorders>
          </w:tcPr>
          <w:p w14:paraId="5935D5C4">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Pr>
          <w:p w14:paraId="18B9CEFE">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70" w:type="dxa"/>
            <w:vMerge w:val="continue"/>
            <w:tcBorders>
              <w:top w:val="nil"/>
              <w:bottom w:val="nil"/>
            </w:tcBorders>
          </w:tcPr>
          <w:p w14:paraId="33977DE9">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808" w:type="dxa"/>
            <w:gridSpan w:val="2"/>
            <w:vMerge w:val="continue"/>
            <w:tcBorders>
              <w:top w:val="nil"/>
              <w:bottom w:val="nil"/>
            </w:tcBorders>
          </w:tcPr>
          <w:p w14:paraId="110B3357">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1590" w:type="dxa"/>
            <w:gridSpan w:val="2"/>
            <w:vAlign w:val="center"/>
          </w:tcPr>
          <w:p w14:paraId="2F99FF6D">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p w14:paraId="4D199635">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服务设施配</w:t>
            </w:r>
            <w:r>
              <w:rPr>
                <w:rFonts w:hint="default" w:ascii="Times New Roman" w:hAnsi="Times New Roman" w:eastAsia="仿宋_GB2312" w:cs="Times New Roman"/>
                <w:spacing w:val="7"/>
                <w:sz w:val="19"/>
                <w:szCs w:val="19"/>
              </w:rPr>
              <w:t>置</w:t>
            </w:r>
          </w:p>
        </w:tc>
        <w:tc>
          <w:tcPr>
            <w:tcW w:w="5964" w:type="dxa"/>
            <w:gridSpan w:val="6"/>
            <w:vAlign w:val="center"/>
          </w:tcPr>
          <w:p w14:paraId="446C0CE4">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16"/>
                <w:sz w:val="19"/>
                <w:szCs w:val="19"/>
              </w:rPr>
              <w:t>□</w:t>
            </w:r>
            <w:r>
              <w:rPr>
                <w:rFonts w:hint="default" w:ascii="Times New Roman" w:hAnsi="Times New Roman" w:eastAsia="仿宋_GB2312" w:cs="Times New Roman"/>
                <w:spacing w:val="13"/>
                <w:sz w:val="19"/>
                <w:szCs w:val="19"/>
              </w:rPr>
              <w:t>满</w:t>
            </w:r>
            <w:r>
              <w:rPr>
                <w:rFonts w:hint="default" w:ascii="Times New Roman" w:hAnsi="Times New Roman" w:eastAsia="仿宋_GB2312" w:cs="Times New Roman"/>
                <w:spacing w:val="8"/>
                <w:sz w:val="19"/>
                <w:szCs w:val="19"/>
              </w:rPr>
              <w:t>足居住区标准“基本公共服务设施完善”标准</w:t>
            </w:r>
          </w:p>
          <w:p w14:paraId="563CB6A7">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8"/>
                <w:sz w:val="19"/>
                <w:szCs w:val="19"/>
              </w:rPr>
              <w:t xml:space="preserve">□满足 </w:t>
            </w:r>
            <w:r>
              <w:rPr>
                <w:rFonts w:hint="default" w:ascii="Times New Roman" w:hAnsi="Times New Roman" w:eastAsia="仿宋_GB2312" w:cs="Times New Roman"/>
                <w:spacing w:val="6"/>
                <w:sz w:val="19"/>
                <w:szCs w:val="19"/>
              </w:rPr>
              <w:t>1</w:t>
            </w:r>
            <w:r>
              <w:rPr>
                <w:rFonts w:hint="default" w:ascii="Times New Roman" w:hAnsi="Times New Roman" w:eastAsia="仿宋_GB2312" w:cs="Times New Roman"/>
                <w:spacing w:val="4"/>
                <w:sz w:val="19"/>
                <w:szCs w:val="19"/>
              </w:rPr>
              <w:t>5 分钟便民商业圈“便民商业服务设施健全”标准</w:t>
            </w:r>
          </w:p>
          <w:p w14:paraId="2489B950">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16"/>
                <w:sz w:val="19"/>
                <w:szCs w:val="19"/>
              </w:rPr>
              <w:t>□</w:t>
            </w:r>
            <w:r>
              <w:rPr>
                <w:rFonts w:hint="default" w:ascii="Times New Roman" w:hAnsi="Times New Roman" w:eastAsia="仿宋_GB2312" w:cs="Times New Roman"/>
                <w:spacing w:val="11"/>
                <w:sz w:val="19"/>
                <w:szCs w:val="19"/>
              </w:rPr>
              <w:t>满</w:t>
            </w:r>
            <w:r>
              <w:rPr>
                <w:rFonts w:hint="default" w:ascii="Times New Roman" w:hAnsi="Times New Roman" w:eastAsia="仿宋_GB2312" w:cs="Times New Roman"/>
                <w:spacing w:val="8"/>
                <w:sz w:val="19"/>
                <w:szCs w:val="19"/>
              </w:rPr>
              <w:t>足居住区标准“公共活动空间充足”标准</w:t>
            </w:r>
          </w:p>
          <w:p w14:paraId="643DF90F">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6"/>
                <w:sz w:val="19"/>
                <w:szCs w:val="19"/>
              </w:rPr>
              <w:t>□</w:t>
            </w:r>
            <w:r>
              <w:rPr>
                <w:rFonts w:hint="default" w:ascii="Times New Roman" w:hAnsi="Times New Roman" w:eastAsia="仿宋_GB2312" w:cs="Times New Roman"/>
                <w:spacing w:val="3"/>
                <w:sz w:val="19"/>
                <w:szCs w:val="19"/>
              </w:rPr>
              <w:t>其他____</w:t>
            </w:r>
          </w:p>
        </w:tc>
      </w:tr>
      <w:tr w14:paraId="276C4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jc w:val="center"/>
        </w:trPr>
        <w:tc>
          <w:tcPr>
            <w:tcW w:w="485" w:type="dxa"/>
            <w:vMerge w:val="continue"/>
            <w:tcBorders>
              <w:left w:val="single" w:color="auto" w:sz="4" w:space="0"/>
            </w:tcBorders>
          </w:tcPr>
          <w:p w14:paraId="25560E43">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Pr>
          <w:p w14:paraId="7F2E86E7">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70" w:type="dxa"/>
            <w:vMerge w:val="continue"/>
            <w:tcBorders>
              <w:top w:val="nil"/>
              <w:bottom w:val="nil"/>
            </w:tcBorders>
          </w:tcPr>
          <w:p w14:paraId="6CB788EC">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808" w:type="dxa"/>
            <w:gridSpan w:val="2"/>
            <w:vMerge w:val="continue"/>
            <w:tcBorders>
              <w:top w:val="nil"/>
              <w:bottom w:val="nil"/>
            </w:tcBorders>
          </w:tcPr>
          <w:p w14:paraId="4A99810B">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1590" w:type="dxa"/>
            <w:gridSpan w:val="2"/>
            <w:vAlign w:val="center"/>
          </w:tcPr>
          <w:p w14:paraId="7C24AE1F">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11"/>
                <w:sz w:val="19"/>
                <w:szCs w:val="19"/>
              </w:rPr>
              <w:t>基</w:t>
            </w:r>
            <w:r>
              <w:rPr>
                <w:rFonts w:hint="default" w:ascii="Times New Roman" w:hAnsi="Times New Roman" w:eastAsia="仿宋_GB2312" w:cs="Times New Roman"/>
                <w:spacing w:val="7"/>
                <w:sz w:val="19"/>
                <w:szCs w:val="19"/>
              </w:rPr>
              <w:t>础设施配置</w:t>
            </w:r>
          </w:p>
        </w:tc>
        <w:tc>
          <w:tcPr>
            <w:tcW w:w="5964" w:type="dxa"/>
            <w:gridSpan w:val="6"/>
            <w:vAlign w:val="center"/>
          </w:tcPr>
          <w:p w14:paraId="5281CE84">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16"/>
                <w:sz w:val="19"/>
                <w:szCs w:val="19"/>
              </w:rPr>
              <w:t>□</w:t>
            </w:r>
            <w:r>
              <w:rPr>
                <w:rFonts w:hint="default" w:ascii="Times New Roman" w:hAnsi="Times New Roman" w:eastAsia="仿宋_GB2312" w:cs="Times New Roman"/>
                <w:spacing w:val="13"/>
                <w:sz w:val="19"/>
                <w:szCs w:val="19"/>
              </w:rPr>
              <w:t>满</w:t>
            </w:r>
            <w:r>
              <w:rPr>
                <w:rFonts w:hint="default" w:ascii="Times New Roman" w:hAnsi="Times New Roman" w:eastAsia="仿宋_GB2312" w:cs="Times New Roman"/>
                <w:spacing w:val="8"/>
                <w:sz w:val="19"/>
                <w:szCs w:val="19"/>
              </w:rPr>
              <w:t>足居住区标准“市政配套基础设施完备”标准</w:t>
            </w:r>
          </w:p>
        </w:tc>
      </w:tr>
      <w:tr w14:paraId="7D4D19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485" w:type="dxa"/>
            <w:vMerge w:val="continue"/>
            <w:tcBorders>
              <w:left w:val="single" w:color="auto" w:sz="4" w:space="0"/>
            </w:tcBorders>
          </w:tcPr>
          <w:p w14:paraId="51750367">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Pr>
          <w:p w14:paraId="1DC8733C">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70" w:type="dxa"/>
            <w:vMerge w:val="continue"/>
            <w:tcBorders>
              <w:top w:val="nil"/>
              <w:bottom w:val="nil"/>
            </w:tcBorders>
          </w:tcPr>
          <w:p w14:paraId="7333C1C5">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808" w:type="dxa"/>
            <w:gridSpan w:val="2"/>
            <w:vMerge w:val="continue"/>
            <w:tcBorders>
              <w:top w:val="nil"/>
              <w:bottom w:val="nil"/>
            </w:tcBorders>
          </w:tcPr>
          <w:p w14:paraId="4EBBA6D0">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1590" w:type="dxa"/>
            <w:gridSpan w:val="2"/>
            <w:vMerge w:val="restart"/>
            <w:tcBorders>
              <w:bottom w:val="nil"/>
            </w:tcBorders>
            <w:vAlign w:val="center"/>
          </w:tcPr>
          <w:p w14:paraId="7B4D2474">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p w14:paraId="52D402B6">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7"/>
                <w:sz w:val="19"/>
                <w:szCs w:val="19"/>
              </w:rPr>
              <w:t>功能活力提升</w:t>
            </w:r>
          </w:p>
        </w:tc>
        <w:tc>
          <w:tcPr>
            <w:tcW w:w="5964" w:type="dxa"/>
            <w:gridSpan w:val="6"/>
            <w:vAlign w:val="center"/>
          </w:tcPr>
          <w:p w14:paraId="515872EB">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11"/>
                <w:sz w:val="19"/>
                <w:szCs w:val="19"/>
              </w:rPr>
              <w:t>近</w:t>
            </w:r>
            <w:r>
              <w:rPr>
                <w:rFonts w:hint="default" w:ascii="Times New Roman" w:hAnsi="Times New Roman" w:eastAsia="仿宋_GB2312" w:cs="Times New Roman"/>
                <w:spacing w:val="8"/>
                <w:sz w:val="19"/>
                <w:szCs w:val="19"/>
              </w:rPr>
              <w:t>五年常住人口总量变化趋势</w:t>
            </w:r>
            <w:r>
              <w:rPr>
                <w:rFonts w:hint="default" w:ascii="Times New Roman" w:hAnsi="Times New Roman" w:eastAsia="仿宋_GB2312" w:cs="Times New Roman"/>
                <w:spacing w:val="8"/>
                <w:sz w:val="19"/>
                <w:szCs w:val="19"/>
                <w:u w:val="single"/>
              </w:rPr>
              <w:t>____</w:t>
            </w:r>
          </w:p>
        </w:tc>
      </w:tr>
      <w:tr w14:paraId="51D91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485" w:type="dxa"/>
            <w:vMerge w:val="continue"/>
            <w:tcBorders>
              <w:left w:val="single" w:color="auto" w:sz="4" w:space="0"/>
            </w:tcBorders>
          </w:tcPr>
          <w:p w14:paraId="241F1EC6">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67" w:type="dxa"/>
            <w:vMerge w:val="continue"/>
          </w:tcPr>
          <w:p w14:paraId="3B7FD0EE">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670" w:type="dxa"/>
            <w:vMerge w:val="continue"/>
            <w:tcBorders>
              <w:top w:val="nil"/>
            </w:tcBorders>
          </w:tcPr>
          <w:p w14:paraId="54193663">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808" w:type="dxa"/>
            <w:gridSpan w:val="2"/>
            <w:vMerge w:val="continue"/>
            <w:tcBorders>
              <w:top w:val="nil"/>
            </w:tcBorders>
          </w:tcPr>
          <w:p w14:paraId="278978B7">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1590" w:type="dxa"/>
            <w:gridSpan w:val="2"/>
            <w:vMerge w:val="continue"/>
            <w:tcBorders>
              <w:top w:val="nil"/>
            </w:tcBorders>
          </w:tcPr>
          <w:p w14:paraId="04EBBDC0">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rPr>
            </w:pPr>
          </w:p>
        </w:tc>
        <w:tc>
          <w:tcPr>
            <w:tcW w:w="5964" w:type="dxa"/>
            <w:gridSpan w:val="6"/>
            <w:vAlign w:val="center"/>
          </w:tcPr>
          <w:p w14:paraId="4A7D463D">
            <w:pPr>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default" w:ascii="Times New Roman" w:hAnsi="Times New Roman" w:eastAsia="仿宋_GB2312" w:cs="Times New Roman"/>
                <w:sz w:val="19"/>
                <w:szCs w:val="19"/>
              </w:rPr>
            </w:pPr>
            <w:r>
              <w:rPr>
                <w:rFonts w:hint="default" w:ascii="Times New Roman" w:hAnsi="Times New Roman" w:eastAsia="仿宋_GB2312" w:cs="Times New Roman"/>
                <w:spacing w:val="14"/>
                <w:sz w:val="19"/>
                <w:szCs w:val="19"/>
              </w:rPr>
              <w:t>新</w:t>
            </w:r>
            <w:r>
              <w:rPr>
                <w:rFonts w:hint="default" w:ascii="Times New Roman" w:hAnsi="Times New Roman" w:eastAsia="仿宋_GB2312" w:cs="Times New Roman"/>
                <w:spacing w:val="8"/>
                <w:sz w:val="19"/>
                <w:szCs w:val="19"/>
              </w:rPr>
              <w:t>市民、青年人占常住人口总量比例____%</w:t>
            </w:r>
          </w:p>
        </w:tc>
      </w:tr>
    </w:tbl>
    <w:p w14:paraId="5C3B92EC">
      <w:pPr>
        <w:widowControl/>
        <w:rPr>
          <w:rFonts w:hint="default" w:ascii="Times New Roman" w:hAnsi="Times New Roman" w:eastAsia="华文仿宋" w:cs="Times New Roman"/>
          <w:b/>
          <w:bCs/>
          <w:color w:val="000000"/>
          <w:sz w:val="32"/>
          <w:szCs w:val="44"/>
        </w:rPr>
      </w:pPr>
      <w:r>
        <w:rPr>
          <w:rFonts w:hint="default" w:ascii="Times New Roman" w:hAnsi="Times New Roman" w:cs="Times New Roman"/>
          <w:color w:val="000000"/>
          <w:sz w:val="32"/>
          <w:szCs w:val="44"/>
        </w:rPr>
        <w:br w:type="page"/>
      </w:r>
    </w:p>
    <w:p w14:paraId="76D9E8D9">
      <w:pPr>
        <w:pStyle w:val="4"/>
        <w:rPr>
          <w:rFonts w:hint="default" w:ascii="Times New Roman" w:hAnsi="Times New Roman" w:eastAsia="方正小标宋简体" w:cs="Times New Roman"/>
          <w:b w:val="0"/>
          <w:bCs w:val="0"/>
          <w:color w:val="000000"/>
        </w:rPr>
      </w:pPr>
      <w:bookmarkStart w:id="27" w:name="_Toc1841130392"/>
      <w:r>
        <w:rPr>
          <w:rFonts w:hint="default" w:ascii="Times New Roman" w:hAnsi="Times New Roman" w:eastAsia="方正小标宋简体" w:cs="Times New Roman"/>
          <w:b w:val="0"/>
          <w:bCs w:val="0"/>
          <w:color w:val="000000"/>
        </w:rPr>
        <w:t>附录F 城市自体检报告范本</w:t>
      </w:r>
      <w:bookmarkEnd w:id="27"/>
    </w:p>
    <w:p w14:paraId="430565A0">
      <w:pPr>
        <w:spacing w:line="360" w:lineRule="auto"/>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第一章 城市体检工作概述</w:t>
      </w:r>
    </w:p>
    <w:p w14:paraId="08FA2629">
      <w:pPr>
        <w:spacing w:line="360" w:lineRule="auto"/>
        <w:ind w:firstLine="547" w:firstLineChars="171"/>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介绍城市自体检工作的开展情况，包括城市基本情况、体检对象和范围、工作思路、工作内容及方法、指标体系构成等。</w:t>
      </w:r>
    </w:p>
    <w:p w14:paraId="6AED2D51">
      <w:pPr>
        <w:spacing w:line="360" w:lineRule="auto"/>
        <w:ind w:firstLine="227" w:firstLineChars="71"/>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（一）工作背景</w:t>
      </w:r>
    </w:p>
    <w:p w14:paraId="205589AD">
      <w:pPr>
        <w:spacing w:line="360" w:lineRule="auto"/>
        <w:ind w:firstLine="227" w:firstLineChars="71"/>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（二）体检对象及范围（含城市基本情况介绍）</w:t>
      </w:r>
    </w:p>
    <w:p w14:paraId="76E0FD18">
      <w:pPr>
        <w:spacing w:line="360" w:lineRule="auto"/>
        <w:ind w:firstLine="227" w:firstLineChars="71"/>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（三）工作思路及原则</w:t>
      </w:r>
    </w:p>
    <w:p w14:paraId="1713AD7E">
      <w:pPr>
        <w:spacing w:line="360" w:lineRule="auto"/>
        <w:ind w:firstLine="227" w:firstLineChars="71"/>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（四）工作内容</w:t>
      </w:r>
    </w:p>
    <w:p w14:paraId="6CFC8131">
      <w:pPr>
        <w:pStyle w:val="67"/>
        <w:numPr>
          <w:ilvl w:val="0"/>
          <w:numId w:val="0"/>
        </w:numPr>
        <w:ind w:left="420" w:hanging="420"/>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图1 城市体检工作技术路线</w:t>
      </w:r>
    </w:p>
    <w:p w14:paraId="5A5DAA24">
      <w:pPr>
        <w:spacing w:line="360" w:lineRule="auto"/>
        <w:ind w:firstLine="227" w:firstLineChars="71"/>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（五）指标体系构成</w:t>
      </w:r>
    </w:p>
    <w:p w14:paraId="5BBCE767">
      <w:pPr>
        <w:pStyle w:val="67"/>
        <w:numPr>
          <w:ilvl w:val="0"/>
          <w:numId w:val="0"/>
        </w:numPr>
        <w:ind w:left="420" w:hanging="420"/>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表1 xx市城市体检指标体系表</w:t>
      </w:r>
    </w:p>
    <w:p w14:paraId="0C0791C8">
      <w:pPr>
        <w:pStyle w:val="2"/>
        <w:ind w:left="0" w:leftChars="0" w:firstLine="0" w:firstLineChars="0"/>
        <w:rPr>
          <w:rFonts w:hint="default" w:ascii="Times New Roman" w:hAnsi="Times New Roman" w:eastAsia="仿宋_GB2312" w:cs="Times New Roman"/>
          <w:sz w:val="32"/>
          <w:szCs w:val="32"/>
        </w:rPr>
      </w:pPr>
    </w:p>
    <w:p w14:paraId="3800E75C">
      <w:pPr>
        <w:spacing w:line="360" w:lineRule="auto"/>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第二章 城市体检指标分析评价</w:t>
      </w:r>
    </w:p>
    <w:p w14:paraId="6D1CE438">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从当年城市体检指标体系中的各方面对城市体检指标结果进行分析评价，包括数据来源、分析方法、计算结果、变化趋势等内容。参考相关标准值、对标城市体检指标值、往年体检指标值（如有）进行横向与纵向对比，提出初步分析结论（重点说明城区、街区、小区（社区）、住房四个维度的工作成果）。</w:t>
      </w:r>
    </w:p>
    <w:p w14:paraId="2E604C19">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（一）城区维度，围绕xxx、xxx等方面选取xx指标，……</w:t>
      </w:r>
    </w:p>
    <w:p w14:paraId="1411031E">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（二）街区维度，结合xxx（介绍选择原因），选取xx街道作为街道层级的城市体检工作试点，</w:t>
      </w:r>
    </w:p>
    <w:p w14:paraId="37673863">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（三）小区（社区）维度，……</w:t>
      </w:r>
    </w:p>
    <w:p w14:paraId="0EBC0EFC">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（四）住房维度……</w:t>
      </w:r>
    </w:p>
    <w:p w14:paraId="02525A97">
      <w:pPr>
        <w:spacing w:line="360" w:lineRule="auto"/>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第三章 社会满意度调查</w:t>
      </w:r>
    </w:p>
    <w:p w14:paraId="2348F53F">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介绍社会满意度调查的基本情况、工作方法、总体结论、分项结论及满意度评价结论等。包括总体调查情况、分项指标分析评价、总体分析评价等。</w:t>
      </w:r>
    </w:p>
    <w:p w14:paraId="6EC0BB2B">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（一）社会满意度调查概况</w:t>
      </w:r>
    </w:p>
    <w:p w14:paraId="446373A5">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（二）社会满意度总体评价</w:t>
      </w:r>
    </w:p>
    <w:p w14:paraId="07188EE4">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（三）社会满意度分项评价</w:t>
      </w:r>
    </w:p>
    <w:p w14:paraId="1AA659EE">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（四）社会满意度结论</w:t>
      </w:r>
    </w:p>
    <w:p w14:paraId="6784FBF8">
      <w:pPr>
        <w:spacing w:line="360" w:lineRule="auto"/>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第四章 城市建设发展质量评价</w:t>
      </w:r>
    </w:p>
    <w:p w14:paraId="3B623F5F">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结合指标数据分析、社会满意度调查及其他体检方式，围绕城市发展目标和年度重点任务，综合分析评价城市建设发展取得的成效及存在的主要问题。</w:t>
      </w:r>
    </w:p>
    <w:p w14:paraId="76D1FEF9">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（一）城市建设成效</w:t>
      </w:r>
    </w:p>
    <w:p w14:paraId="0E9D07A5">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（二）主要城市问题</w:t>
      </w:r>
    </w:p>
    <w:p w14:paraId="0CB8FC1D">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（三）问题成因剖析</w:t>
      </w:r>
    </w:p>
    <w:p w14:paraId="50889A20">
      <w:pPr>
        <w:spacing w:line="360" w:lineRule="auto"/>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第五章 城市治理对策及行动建议</w:t>
      </w:r>
    </w:p>
    <w:p w14:paraId="40E213FE">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面向城市体检存在的问题，针对性提出城市人居环境品质提升行动策略、城市更新行动策略、下一年度重点整治工作建议及城市更新项目清单。</w:t>
      </w:r>
    </w:p>
    <w:p w14:paraId="2FCF0E6F">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（一）城市问题及治理对策</w:t>
      </w:r>
    </w:p>
    <w:p w14:paraId="0A150892">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（二）城市更新行动方案</w:t>
      </w:r>
    </w:p>
    <w:p w14:paraId="3676154F">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（三）下一年度重点整治工作建议</w:t>
      </w:r>
    </w:p>
    <w:p w14:paraId="76138961">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其中，五年一次的城市评估报告应对标城市更新规划、中长期国民经济和社会发展规划等确定的城市发展目标，开展城市更新绩效回顾及城市规划、建设、管理上出现的问题总结。结合五年来城市发展和体检指标的变化情况进行全面评估，梳理实施成效、存在问题及原因分析，提出下一阶段城市体检及城市更新工作的对策建议。</w:t>
      </w:r>
    </w:p>
    <w:p w14:paraId="08973A75">
      <w:pPr>
        <w:spacing w:line="360" w:lineRule="auto"/>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附表：</w:t>
      </w:r>
    </w:p>
    <w:p w14:paraId="177ED17A">
      <w:pPr>
        <w:pStyle w:val="61"/>
        <w:numPr>
          <w:ilvl w:val="0"/>
          <w:numId w:val="0"/>
        </w:numPr>
        <w:spacing w:before="0" w:beforeLines="0" w:after="0" w:afterLines="0"/>
        <w:ind w:left="420" w:hanging="420"/>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表1 城市体检指标分析诊断结果一览表</w:t>
      </w:r>
    </w:p>
    <w:tbl>
      <w:tblPr>
        <w:tblStyle w:val="28"/>
        <w:tblW w:w="5000" w:type="pct"/>
        <w:jc w:val="center"/>
        <w:tblLayout w:type="autofit"/>
        <w:tblCellMar>
          <w:top w:w="0" w:type="dxa"/>
          <w:left w:w="108" w:type="dxa"/>
          <w:bottom w:w="0" w:type="dxa"/>
          <w:right w:w="108" w:type="dxa"/>
        </w:tblCellMar>
      </w:tblPr>
      <w:tblGrid>
        <w:gridCol w:w="936"/>
        <w:gridCol w:w="698"/>
        <w:gridCol w:w="973"/>
        <w:gridCol w:w="939"/>
        <w:gridCol w:w="1180"/>
        <w:gridCol w:w="1434"/>
        <w:gridCol w:w="1181"/>
        <w:gridCol w:w="1181"/>
      </w:tblGrid>
      <w:tr w14:paraId="792A185C">
        <w:tblPrEx>
          <w:tblCellMar>
            <w:top w:w="0" w:type="dxa"/>
            <w:left w:w="108" w:type="dxa"/>
            <w:bottom w:w="0" w:type="dxa"/>
            <w:right w:w="108" w:type="dxa"/>
          </w:tblCellMar>
        </w:tblPrEx>
        <w:trPr>
          <w:trHeight w:val="510" w:hRule="atLeast"/>
          <w:jc w:val="center"/>
        </w:trPr>
        <w:tc>
          <w:tcPr>
            <w:tcW w:w="409"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5E38A59E">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目标</w:t>
            </w:r>
          </w:p>
        </w:tc>
        <w:tc>
          <w:tcPr>
            <w:tcW w:w="409"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3BC903AE">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序号</w:t>
            </w:r>
          </w:p>
        </w:tc>
        <w:tc>
          <w:tcPr>
            <w:tcW w:w="641"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666BA14D">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指标</w:t>
            </w:r>
          </w:p>
          <w:p w14:paraId="4278FD39">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名称</w:t>
            </w:r>
          </w:p>
        </w:tc>
        <w:tc>
          <w:tcPr>
            <w:tcW w:w="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4871E8FB">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指标值</w:t>
            </w:r>
          </w:p>
        </w:tc>
        <w:tc>
          <w:tcPr>
            <w:tcW w:w="692"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4CA3A44D">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评价标准</w:t>
            </w:r>
          </w:p>
        </w:tc>
        <w:tc>
          <w:tcPr>
            <w:tcW w:w="911"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7C8B21A1">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评价标准</w:t>
            </w:r>
          </w:p>
          <w:p w14:paraId="628300D9">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依据</w:t>
            </w:r>
          </w:p>
        </w:tc>
        <w:tc>
          <w:tcPr>
            <w:tcW w:w="692"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60CD31A7">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指标评价</w:t>
            </w:r>
          </w:p>
        </w:tc>
        <w:tc>
          <w:tcPr>
            <w:tcW w:w="692"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62068D74">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目标评价</w:t>
            </w:r>
          </w:p>
        </w:tc>
      </w:tr>
      <w:tr w14:paraId="0E5F493E">
        <w:tblPrEx>
          <w:tblCellMar>
            <w:top w:w="0" w:type="dxa"/>
            <w:left w:w="108" w:type="dxa"/>
            <w:bottom w:w="0" w:type="dxa"/>
            <w:right w:w="108" w:type="dxa"/>
          </w:tblCellMar>
        </w:tblPrEx>
        <w:trPr>
          <w:trHeight w:val="750" w:hRule="atLeast"/>
          <w:jc w:val="center"/>
        </w:trPr>
        <w:tc>
          <w:tcPr>
            <w:tcW w:w="409" w:type="pct"/>
            <w:vMerge w:val="restart"/>
            <w:tcBorders>
              <w:top w:val="single" w:color="000000" w:sz="4" w:space="0"/>
              <w:left w:val="single" w:color="000000" w:sz="4" w:space="0"/>
              <w:bottom w:val="nil"/>
              <w:right w:val="single" w:color="000000" w:sz="4" w:space="0"/>
              <w:tl2br w:val="nil"/>
              <w:tr2bl w:val="nil"/>
            </w:tcBorders>
            <w:noWrap/>
            <w:vAlign w:val="center"/>
          </w:tcPr>
          <w:p w14:paraId="222526CB">
            <w:pPr>
              <w:pStyle w:val="64"/>
              <w:jc w:val="both"/>
              <w:rPr>
                <w:rFonts w:hint="eastAsia" w:ascii="Times New Roman" w:hAnsi="Times New Roman" w:eastAsia="仿宋_GB2312" w:cs="Times New Roman"/>
                <w:sz w:val="24"/>
                <w:szCs w:val="24"/>
                <w:lang w:eastAsia="zh-CN"/>
              </w:rPr>
            </w:pP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一</w:t>
            </w:r>
            <w:r>
              <w:rPr>
                <w:rFonts w:hint="eastAsia" w:ascii="Times New Roman" w:hAnsi="Times New Roman" w:eastAsia="仿宋_GB2312" w:cs="Times New Roman"/>
                <w:sz w:val="24"/>
                <w:szCs w:val="24"/>
                <w:lang w:eastAsia="zh-CN"/>
              </w:rPr>
              <w:t>）</w:t>
            </w:r>
          </w:p>
          <w:p w14:paraId="3908E972">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w:t>
            </w:r>
          </w:p>
        </w:tc>
        <w:tc>
          <w:tcPr>
            <w:tcW w:w="409"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049CE488">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641" w:type="pct"/>
            <w:tcBorders>
              <w:top w:val="single" w:color="000000" w:sz="4" w:space="0"/>
              <w:left w:val="single" w:color="000000" w:sz="4" w:space="0"/>
              <w:bottom w:val="single" w:color="000000" w:sz="4" w:space="0"/>
              <w:right w:val="single" w:color="000000" w:sz="4" w:space="0"/>
              <w:tl2br w:val="nil"/>
              <w:tr2bl w:val="nil"/>
            </w:tcBorders>
            <w:vAlign w:val="center"/>
          </w:tcPr>
          <w:p w14:paraId="5EBBB1A0">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w:t>
            </w:r>
          </w:p>
        </w:tc>
        <w:tc>
          <w:tcPr>
            <w:tcW w:w="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69A2291D">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w:t>
            </w:r>
          </w:p>
        </w:tc>
        <w:tc>
          <w:tcPr>
            <w:tcW w:w="692"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37207684">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w:t>
            </w:r>
          </w:p>
        </w:tc>
        <w:tc>
          <w:tcPr>
            <w:tcW w:w="911" w:type="pct"/>
            <w:tcBorders>
              <w:top w:val="single" w:color="000000" w:sz="4" w:space="0"/>
              <w:left w:val="single" w:color="000000" w:sz="4" w:space="0"/>
              <w:bottom w:val="single" w:color="000000" w:sz="4" w:space="0"/>
              <w:right w:val="single" w:color="000000" w:sz="4" w:space="0"/>
              <w:tl2br w:val="nil"/>
              <w:tr2bl w:val="nil"/>
            </w:tcBorders>
            <w:vAlign w:val="center"/>
          </w:tcPr>
          <w:p w14:paraId="0999D4D2">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w:t>
            </w:r>
          </w:p>
        </w:tc>
        <w:tc>
          <w:tcPr>
            <w:tcW w:w="692"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6D32A3B7">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w:t>
            </w:r>
          </w:p>
        </w:tc>
        <w:tc>
          <w:tcPr>
            <w:tcW w:w="692" w:type="pct"/>
            <w:vMerge w:val="restart"/>
            <w:tcBorders>
              <w:top w:val="single" w:color="000000" w:sz="4" w:space="0"/>
              <w:left w:val="single" w:color="000000" w:sz="4" w:space="0"/>
              <w:bottom w:val="nil"/>
              <w:right w:val="single" w:color="000000" w:sz="4" w:space="0"/>
              <w:tl2br w:val="nil"/>
              <w:tr2bl w:val="nil"/>
            </w:tcBorders>
            <w:noWrap/>
            <w:vAlign w:val="center"/>
          </w:tcPr>
          <w:p w14:paraId="1F5AB0C9">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w:t>
            </w:r>
          </w:p>
        </w:tc>
      </w:tr>
      <w:tr w14:paraId="46C948FD">
        <w:tblPrEx>
          <w:tblCellMar>
            <w:top w:w="0" w:type="dxa"/>
            <w:left w:w="108" w:type="dxa"/>
            <w:bottom w:w="0" w:type="dxa"/>
            <w:right w:w="108" w:type="dxa"/>
          </w:tblCellMar>
        </w:tblPrEx>
        <w:trPr>
          <w:trHeight w:val="375" w:hRule="atLeast"/>
          <w:jc w:val="center"/>
        </w:trPr>
        <w:tc>
          <w:tcPr>
            <w:tcW w:w="409" w:type="pct"/>
            <w:vMerge w:val="continue"/>
            <w:tcBorders>
              <w:top w:val="nil"/>
              <w:left w:val="single" w:color="000000" w:sz="4" w:space="0"/>
              <w:bottom w:val="nil"/>
              <w:right w:val="single" w:color="000000" w:sz="4" w:space="0"/>
              <w:tl2br w:val="nil"/>
              <w:tr2bl w:val="nil"/>
            </w:tcBorders>
            <w:noWrap/>
            <w:vAlign w:val="center"/>
          </w:tcPr>
          <w:p w14:paraId="7307662D">
            <w:pPr>
              <w:pStyle w:val="64"/>
              <w:jc w:val="both"/>
              <w:rPr>
                <w:rFonts w:hint="default" w:ascii="Times New Roman" w:hAnsi="Times New Roman" w:eastAsia="仿宋_GB2312" w:cs="Times New Roman"/>
                <w:sz w:val="24"/>
                <w:szCs w:val="24"/>
              </w:rPr>
            </w:pPr>
          </w:p>
        </w:tc>
        <w:tc>
          <w:tcPr>
            <w:tcW w:w="409"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0D2D263F">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p>
        </w:tc>
        <w:tc>
          <w:tcPr>
            <w:tcW w:w="641"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59C52581">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38E53C76">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692"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2100BBF6">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911"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0DBC5F59">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692"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4A2121A6">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692" w:type="pct"/>
            <w:vMerge w:val="continue"/>
            <w:tcBorders>
              <w:top w:val="nil"/>
              <w:left w:val="single" w:color="000000" w:sz="4" w:space="0"/>
              <w:bottom w:val="nil"/>
              <w:right w:val="single" w:color="000000" w:sz="4" w:space="0"/>
              <w:tl2br w:val="nil"/>
              <w:tr2bl w:val="nil"/>
            </w:tcBorders>
            <w:noWrap/>
            <w:vAlign w:val="center"/>
          </w:tcPr>
          <w:p w14:paraId="725E6942">
            <w:pPr>
              <w:pStyle w:val="64"/>
              <w:jc w:val="both"/>
              <w:rPr>
                <w:rFonts w:hint="default" w:ascii="Times New Roman" w:hAnsi="Times New Roman" w:eastAsia="仿宋_GB2312" w:cs="Times New Roman"/>
                <w:sz w:val="24"/>
                <w:szCs w:val="24"/>
              </w:rPr>
            </w:pPr>
          </w:p>
        </w:tc>
      </w:tr>
      <w:tr w14:paraId="2DD61880">
        <w:tblPrEx>
          <w:tblCellMar>
            <w:top w:w="0" w:type="dxa"/>
            <w:left w:w="108" w:type="dxa"/>
            <w:bottom w:w="0" w:type="dxa"/>
            <w:right w:w="108" w:type="dxa"/>
          </w:tblCellMar>
        </w:tblPrEx>
        <w:trPr>
          <w:trHeight w:val="375" w:hRule="atLeast"/>
          <w:jc w:val="center"/>
        </w:trPr>
        <w:tc>
          <w:tcPr>
            <w:tcW w:w="409" w:type="pct"/>
            <w:vMerge w:val="continue"/>
            <w:tcBorders>
              <w:top w:val="nil"/>
              <w:left w:val="single" w:color="000000" w:sz="4" w:space="0"/>
              <w:bottom w:val="nil"/>
              <w:right w:val="single" w:color="000000" w:sz="4" w:space="0"/>
              <w:tl2br w:val="nil"/>
              <w:tr2bl w:val="nil"/>
            </w:tcBorders>
            <w:noWrap/>
            <w:vAlign w:val="center"/>
          </w:tcPr>
          <w:p w14:paraId="73480431">
            <w:pPr>
              <w:pStyle w:val="64"/>
              <w:jc w:val="both"/>
              <w:rPr>
                <w:rFonts w:hint="default" w:ascii="Times New Roman" w:hAnsi="Times New Roman" w:eastAsia="仿宋_GB2312" w:cs="Times New Roman"/>
                <w:sz w:val="24"/>
                <w:szCs w:val="24"/>
              </w:rPr>
            </w:pPr>
          </w:p>
        </w:tc>
        <w:tc>
          <w:tcPr>
            <w:tcW w:w="409"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3A48E55B">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641"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1CBBDDE4">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7094EADA">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692"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30096932">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911"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6917D87A">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692"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782BC083">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692" w:type="pct"/>
            <w:vMerge w:val="continue"/>
            <w:tcBorders>
              <w:top w:val="nil"/>
              <w:left w:val="single" w:color="000000" w:sz="4" w:space="0"/>
              <w:bottom w:val="nil"/>
              <w:right w:val="single" w:color="000000" w:sz="4" w:space="0"/>
              <w:tl2br w:val="nil"/>
              <w:tr2bl w:val="nil"/>
            </w:tcBorders>
            <w:noWrap/>
            <w:vAlign w:val="center"/>
          </w:tcPr>
          <w:p w14:paraId="245720E5">
            <w:pPr>
              <w:pStyle w:val="64"/>
              <w:jc w:val="both"/>
              <w:rPr>
                <w:rFonts w:hint="default" w:ascii="Times New Roman" w:hAnsi="Times New Roman" w:eastAsia="仿宋_GB2312" w:cs="Times New Roman"/>
                <w:sz w:val="24"/>
                <w:szCs w:val="24"/>
              </w:rPr>
            </w:pPr>
          </w:p>
        </w:tc>
      </w:tr>
      <w:tr w14:paraId="107E0D32">
        <w:tblPrEx>
          <w:tblCellMar>
            <w:top w:w="0" w:type="dxa"/>
            <w:left w:w="108" w:type="dxa"/>
            <w:bottom w:w="0" w:type="dxa"/>
            <w:right w:w="108" w:type="dxa"/>
          </w:tblCellMar>
        </w:tblPrEx>
        <w:trPr>
          <w:trHeight w:val="375" w:hRule="atLeast"/>
          <w:jc w:val="center"/>
        </w:trPr>
        <w:tc>
          <w:tcPr>
            <w:tcW w:w="409" w:type="pct"/>
            <w:vMerge w:val="restart"/>
            <w:tcBorders>
              <w:top w:val="single" w:color="000000" w:sz="4" w:space="0"/>
              <w:left w:val="single" w:color="000000" w:sz="4" w:space="0"/>
              <w:bottom w:val="nil"/>
              <w:right w:val="single" w:color="000000" w:sz="4" w:space="0"/>
              <w:tl2br w:val="nil"/>
              <w:tr2bl w:val="nil"/>
            </w:tcBorders>
            <w:noWrap/>
            <w:vAlign w:val="center"/>
          </w:tcPr>
          <w:p w14:paraId="62EF99BE">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409"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1CB5ECBF">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641"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77F1B708">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14D117B6">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692"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12982402">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911"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5FC979CD">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692"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70EA005D">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692" w:type="pct"/>
            <w:vMerge w:val="restart"/>
            <w:tcBorders>
              <w:top w:val="single" w:color="000000" w:sz="4" w:space="0"/>
              <w:left w:val="single" w:color="000000" w:sz="4" w:space="0"/>
              <w:bottom w:val="nil"/>
              <w:right w:val="single" w:color="000000" w:sz="4" w:space="0"/>
              <w:tl2br w:val="nil"/>
              <w:tr2bl w:val="nil"/>
            </w:tcBorders>
            <w:noWrap/>
            <w:vAlign w:val="center"/>
          </w:tcPr>
          <w:p w14:paraId="400E8937">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r>
      <w:tr w14:paraId="04B424CB">
        <w:tblPrEx>
          <w:tblCellMar>
            <w:top w:w="0" w:type="dxa"/>
            <w:left w:w="108" w:type="dxa"/>
            <w:bottom w:w="0" w:type="dxa"/>
            <w:right w:w="108" w:type="dxa"/>
          </w:tblCellMar>
        </w:tblPrEx>
        <w:trPr>
          <w:trHeight w:val="375" w:hRule="atLeast"/>
          <w:jc w:val="center"/>
        </w:trPr>
        <w:tc>
          <w:tcPr>
            <w:tcW w:w="409" w:type="pct"/>
            <w:vMerge w:val="continue"/>
            <w:tcBorders>
              <w:top w:val="nil"/>
              <w:left w:val="single" w:color="000000" w:sz="4" w:space="0"/>
              <w:bottom w:val="single" w:color="000000" w:sz="4" w:space="0"/>
              <w:right w:val="single" w:color="000000" w:sz="4" w:space="0"/>
              <w:tl2br w:val="nil"/>
              <w:tr2bl w:val="nil"/>
            </w:tcBorders>
            <w:noWrap/>
            <w:vAlign w:val="center"/>
          </w:tcPr>
          <w:p w14:paraId="17AAC1F7">
            <w:pPr>
              <w:pStyle w:val="64"/>
              <w:jc w:val="both"/>
              <w:rPr>
                <w:rFonts w:hint="default" w:ascii="Times New Roman" w:hAnsi="Times New Roman" w:eastAsia="仿宋_GB2312" w:cs="Times New Roman"/>
                <w:sz w:val="24"/>
                <w:szCs w:val="24"/>
              </w:rPr>
            </w:pPr>
          </w:p>
        </w:tc>
        <w:tc>
          <w:tcPr>
            <w:tcW w:w="409"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71276E96">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641"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365468EF">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7A63584D">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692"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310C0DF3">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911"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12A2FFC1">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692"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47E4DA51">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692" w:type="pct"/>
            <w:vMerge w:val="continue"/>
            <w:tcBorders>
              <w:top w:val="nil"/>
              <w:left w:val="single" w:color="000000" w:sz="4" w:space="0"/>
              <w:bottom w:val="single" w:color="000000" w:sz="4" w:space="0"/>
              <w:right w:val="single" w:color="000000" w:sz="4" w:space="0"/>
              <w:tl2br w:val="nil"/>
              <w:tr2bl w:val="nil"/>
            </w:tcBorders>
            <w:noWrap/>
            <w:vAlign w:val="center"/>
          </w:tcPr>
          <w:p w14:paraId="46FF2C91">
            <w:pPr>
              <w:pStyle w:val="64"/>
              <w:jc w:val="both"/>
              <w:rPr>
                <w:rFonts w:hint="default" w:ascii="Times New Roman" w:hAnsi="Times New Roman" w:eastAsia="仿宋_GB2312" w:cs="Times New Roman"/>
                <w:sz w:val="24"/>
                <w:szCs w:val="24"/>
              </w:rPr>
            </w:pPr>
          </w:p>
        </w:tc>
      </w:tr>
    </w:tbl>
    <w:p w14:paraId="3CC7A988">
      <w:pPr>
        <w:pStyle w:val="61"/>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240" w:lineRule="auto"/>
        <w:jc w:val="both"/>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注：1.具有确定目标导向或区间阈值的指标，按照“很好、较好、一般、不足”四个层次进行评定；2.具有底线要求的指标，按照“达标、不达标”进行评定；3.作为基本情况反映城市现状，但不具有直接评价意义的基本指标，按城市排名进行评价，排名前1/2的统一评价为较好，排名后1/2的统一评价为一般；4.目标评价分为优、良、中、差，共计四类。</w:t>
      </w:r>
    </w:p>
    <w:p w14:paraId="623D3501">
      <w:pPr>
        <w:pStyle w:val="61"/>
        <w:numPr>
          <w:ilvl w:val="0"/>
          <w:numId w:val="0"/>
        </w:numPr>
        <w:spacing w:before="0" w:beforeLines="0" w:after="0" w:afterLines="0"/>
        <w:ind w:left="420" w:hanging="420"/>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表2 城市体检指标及其分解数据采集表</w:t>
      </w:r>
    </w:p>
    <w:tbl>
      <w:tblPr>
        <w:tblStyle w:val="28"/>
        <w:tblW w:w="85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2"/>
        <w:gridCol w:w="814"/>
        <w:gridCol w:w="883"/>
        <w:gridCol w:w="565"/>
        <w:gridCol w:w="989"/>
        <w:gridCol w:w="899"/>
        <w:gridCol w:w="1033"/>
        <w:gridCol w:w="874"/>
        <w:gridCol w:w="808"/>
        <w:gridCol w:w="989"/>
      </w:tblGrid>
      <w:tr w14:paraId="182B04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tblHeader/>
          <w:jc w:val="center"/>
        </w:trPr>
        <w:tc>
          <w:tcPr>
            <w:tcW w:w="702" w:type="dxa"/>
            <w:tcBorders>
              <w:top w:val="single" w:color="auto" w:sz="4" w:space="0"/>
              <w:left w:val="single" w:color="auto" w:sz="4" w:space="0"/>
              <w:bottom w:val="single" w:color="auto" w:sz="4" w:space="0"/>
              <w:right w:val="single" w:color="000000" w:sz="4" w:space="0"/>
              <w:tl2br w:val="nil"/>
              <w:tr2bl w:val="nil"/>
            </w:tcBorders>
            <w:vAlign w:val="center"/>
          </w:tcPr>
          <w:p w14:paraId="3B980D3C">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目标</w:t>
            </w:r>
          </w:p>
        </w:tc>
        <w:tc>
          <w:tcPr>
            <w:tcW w:w="814" w:type="dxa"/>
            <w:tcBorders>
              <w:top w:val="single" w:color="auto" w:sz="4" w:space="0"/>
              <w:left w:val="single" w:color="000000" w:sz="4" w:space="0"/>
              <w:bottom w:val="single" w:color="000000" w:sz="4" w:space="0"/>
              <w:right w:val="single" w:color="000000" w:sz="4" w:space="0"/>
              <w:tl2br w:val="nil"/>
              <w:tr2bl w:val="nil"/>
            </w:tcBorders>
            <w:vAlign w:val="center"/>
          </w:tcPr>
          <w:p w14:paraId="11635DAE">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序号</w:t>
            </w:r>
          </w:p>
        </w:tc>
        <w:tc>
          <w:tcPr>
            <w:tcW w:w="883" w:type="dxa"/>
            <w:tcBorders>
              <w:top w:val="single" w:color="auto" w:sz="4" w:space="0"/>
              <w:left w:val="single" w:color="000000" w:sz="4" w:space="0"/>
              <w:bottom w:val="single" w:color="000000" w:sz="4" w:space="0"/>
              <w:right w:val="single" w:color="000000" w:sz="4" w:space="0"/>
              <w:tl2br w:val="nil"/>
              <w:tr2bl w:val="nil"/>
            </w:tcBorders>
            <w:vAlign w:val="center"/>
          </w:tcPr>
          <w:p w14:paraId="5CE08179">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指标</w:t>
            </w:r>
          </w:p>
          <w:p w14:paraId="659C5612">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名称</w:t>
            </w:r>
          </w:p>
        </w:tc>
        <w:tc>
          <w:tcPr>
            <w:tcW w:w="565" w:type="dxa"/>
            <w:tcBorders>
              <w:top w:val="single" w:color="auto" w:sz="4" w:space="0"/>
              <w:left w:val="single" w:color="000000" w:sz="4" w:space="0"/>
              <w:bottom w:val="single" w:color="000000" w:sz="4" w:space="0"/>
              <w:right w:val="single" w:color="000000" w:sz="4" w:space="0"/>
              <w:tl2br w:val="nil"/>
              <w:tr2bl w:val="nil"/>
            </w:tcBorders>
            <w:vAlign w:val="center"/>
          </w:tcPr>
          <w:p w14:paraId="4B030481">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解释</w:t>
            </w:r>
          </w:p>
        </w:tc>
        <w:tc>
          <w:tcPr>
            <w:tcW w:w="989" w:type="dxa"/>
            <w:tcBorders>
              <w:top w:val="single" w:color="auto" w:sz="4" w:space="0"/>
              <w:left w:val="single" w:color="000000" w:sz="4" w:space="0"/>
              <w:bottom w:val="single" w:color="000000" w:sz="4" w:space="0"/>
              <w:right w:val="single" w:color="000000" w:sz="4" w:space="0"/>
              <w:tl2br w:val="nil"/>
              <w:tr2bl w:val="nil"/>
            </w:tcBorders>
            <w:vAlign w:val="center"/>
          </w:tcPr>
          <w:p w14:paraId="5C187EF7">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计算</w:t>
            </w:r>
          </w:p>
          <w:p w14:paraId="72E6EA8F">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方法</w:t>
            </w:r>
          </w:p>
        </w:tc>
        <w:tc>
          <w:tcPr>
            <w:tcW w:w="899" w:type="dxa"/>
            <w:tcBorders>
              <w:top w:val="single" w:color="auto" w:sz="4" w:space="0"/>
              <w:left w:val="single" w:color="000000" w:sz="4" w:space="0"/>
              <w:bottom w:val="single" w:color="000000" w:sz="4" w:space="0"/>
              <w:right w:val="single" w:color="000000" w:sz="4" w:space="0"/>
              <w:tl2br w:val="nil"/>
              <w:tr2bl w:val="nil"/>
            </w:tcBorders>
            <w:vAlign w:val="center"/>
          </w:tcPr>
          <w:p w14:paraId="1B5FCE75">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数据分解</w:t>
            </w:r>
          </w:p>
        </w:tc>
        <w:tc>
          <w:tcPr>
            <w:tcW w:w="1033" w:type="dxa"/>
            <w:tcBorders>
              <w:top w:val="single" w:color="auto" w:sz="4" w:space="0"/>
              <w:left w:val="single" w:color="000000" w:sz="4" w:space="0"/>
              <w:bottom w:val="single" w:color="000000" w:sz="4" w:space="0"/>
              <w:right w:val="single" w:color="auto" w:sz="4" w:space="0"/>
              <w:tl2br w:val="nil"/>
              <w:tr2bl w:val="nil"/>
            </w:tcBorders>
            <w:vAlign w:val="center"/>
          </w:tcPr>
          <w:p w14:paraId="5974FA3D">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提供</w:t>
            </w:r>
          </w:p>
          <w:p w14:paraId="771DA66C">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单位</w:t>
            </w:r>
          </w:p>
        </w:tc>
        <w:tc>
          <w:tcPr>
            <w:tcW w:w="874" w:type="dxa"/>
            <w:tcBorders>
              <w:top w:val="single" w:color="auto" w:sz="4" w:space="0"/>
              <w:left w:val="single" w:color="000000" w:sz="4" w:space="0"/>
              <w:bottom w:val="single" w:color="000000" w:sz="4" w:space="0"/>
              <w:right w:val="single" w:color="auto" w:sz="4" w:space="0"/>
              <w:tl2br w:val="nil"/>
              <w:tr2bl w:val="nil"/>
            </w:tcBorders>
            <w:vAlign w:val="center"/>
          </w:tcPr>
          <w:p w14:paraId="1BFDED86">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数据值</w:t>
            </w:r>
          </w:p>
        </w:tc>
        <w:tc>
          <w:tcPr>
            <w:tcW w:w="808" w:type="dxa"/>
            <w:tcBorders>
              <w:top w:val="single" w:color="auto" w:sz="4" w:space="0"/>
              <w:left w:val="single" w:color="000000" w:sz="4" w:space="0"/>
              <w:bottom w:val="single" w:color="000000" w:sz="4" w:space="0"/>
              <w:right w:val="single" w:color="auto" w:sz="4" w:space="0"/>
              <w:tl2br w:val="nil"/>
              <w:tr2bl w:val="nil"/>
            </w:tcBorders>
            <w:vAlign w:val="center"/>
          </w:tcPr>
          <w:p w14:paraId="1C3F4D07">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指标值</w:t>
            </w:r>
          </w:p>
        </w:tc>
        <w:tc>
          <w:tcPr>
            <w:tcW w:w="989" w:type="dxa"/>
            <w:tcBorders>
              <w:top w:val="single" w:color="auto" w:sz="4" w:space="0"/>
              <w:left w:val="single" w:color="000000" w:sz="4" w:space="0"/>
              <w:bottom w:val="single" w:color="000000" w:sz="4" w:space="0"/>
              <w:right w:val="single" w:color="auto" w:sz="4" w:space="0"/>
              <w:tl2br w:val="nil"/>
              <w:tr2bl w:val="nil"/>
            </w:tcBorders>
            <w:vAlign w:val="center"/>
          </w:tcPr>
          <w:p w14:paraId="6BF0672B">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负责</w:t>
            </w:r>
          </w:p>
          <w:p w14:paraId="3BA74ED9">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单位</w:t>
            </w:r>
          </w:p>
        </w:tc>
      </w:tr>
      <w:tr w14:paraId="47105A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1" w:hRule="atLeast"/>
          <w:jc w:val="center"/>
        </w:trPr>
        <w:tc>
          <w:tcPr>
            <w:tcW w:w="702"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597891A6">
            <w:pPr>
              <w:pStyle w:val="64"/>
              <w:jc w:val="both"/>
              <w:rPr>
                <w:rFonts w:hint="eastAsia" w:ascii="Times New Roman" w:hAnsi="Times New Roman" w:eastAsia="仿宋_GB2312" w:cs="Times New Roman"/>
                <w:sz w:val="24"/>
                <w:szCs w:val="24"/>
                <w:lang w:eastAsia="zh-CN"/>
              </w:rPr>
            </w:pP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一</w:t>
            </w:r>
            <w:r>
              <w:rPr>
                <w:rFonts w:hint="eastAsia" w:ascii="Times New Roman" w:hAnsi="Times New Roman" w:eastAsia="仿宋_GB2312" w:cs="Times New Roman"/>
                <w:sz w:val="24"/>
                <w:szCs w:val="24"/>
                <w:lang w:eastAsia="zh-CN"/>
              </w:rPr>
              <w:t>）</w:t>
            </w:r>
          </w:p>
          <w:p w14:paraId="32F11D25">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w:t>
            </w:r>
          </w:p>
        </w:tc>
        <w:tc>
          <w:tcPr>
            <w:tcW w:w="814" w:type="dxa"/>
            <w:vMerge w:val="restart"/>
            <w:tcBorders>
              <w:top w:val="single" w:color="000000" w:sz="4" w:space="0"/>
              <w:left w:val="single" w:color="auto" w:sz="4" w:space="0"/>
              <w:bottom w:val="single" w:color="000000" w:sz="4" w:space="0"/>
              <w:right w:val="single" w:color="000000" w:sz="4" w:space="0"/>
              <w:tl2br w:val="nil"/>
              <w:tr2bl w:val="nil"/>
            </w:tcBorders>
            <w:vAlign w:val="center"/>
          </w:tcPr>
          <w:p w14:paraId="13A08048">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883"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446D3B2E">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w:t>
            </w:r>
          </w:p>
        </w:tc>
        <w:tc>
          <w:tcPr>
            <w:tcW w:w="565"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0EB23842">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w:t>
            </w:r>
          </w:p>
        </w:tc>
        <w:tc>
          <w:tcPr>
            <w:tcW w:w="989"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14:paraId="2BDF1A9B">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XX/XX</w:t>
            </w:r>
          </w:p>
        </w:tc>
        <w:tc>
          <w:tcPr>
            <w:tcW w:w="899" w:type="dxa"/>
            <w:tcBorders>
              <w:top w:val="single" w:color="000000" w:sz="4" w:space="0"/>
              <w:left w:val="single" w:color="000000" w:sz="4" w:space="0"/>
              <w:bottom w:val="single" w:color="000000" w:sz="4" w:space="0"/>
              <w:right w:val="single" w:color="000000" w:sz="4" w:space="0"/>
              <w:tl2br w:val="nil"/>
              <w:tr2bl w:val="nil"/>
            </w:tcBorders>
            <w:vAlign w:val="center"/>
          </w:tcPr>
          <w:p w14:paraId="4B9729FF">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1.XX</w:t>
            </w:r>
          </w:p>
        </w:tc>
        <w:tc>
          <w:tcPr>
            <w:tcW w:w="1033" w:type="dxa"/>
            <w:tcBorders>
              <w:top w:val="single" w:color="000000" w:sz="4" w:space="0"/>
              <w:left w:val="single" w:color="000000" w:sz="4" w:space="0"/>
              <w:bottom w:val="single" w:color="000000" w:sz="4" w:space="0"/>
              <w:right w:val="single" w:color="auto" w:sz="4" w:space="0"/>
              <w:tl2br w:val="nil"/>
              <w:tr2bl w:val="nil"/>
            </w:tcBorders>
            <w:vAlign w:val="center"/>
          </w:tcPr>
          <w:p w14:paraId="2883FD5D">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X局</w:t>
            </w:r>
          </w:p>
        </w:tc>
        <w:tc>
          <w:tcPr>
            <w:tcW w:w="874" w:type="dxa"/>
            <w:tcBorders>
              <w:top w:val="single" w:color="000000" w:sz="4" w:space="0"/>
              <w:left w:val="single" w:color="000000" w:sz="4" w:space="0"/>
              <w:bottom w:val="single" w:color="000000" w:sz="4" w:space="0"/>
              <w:right w:val="single" w:color="auto" w:sz="4" w:space="0"/>
              <w:tl2br w:val="nil"/>
              <w:tr2bl w:val="nil"/>
            </w:tcBorders>
            <w:vAlign w:val="center"/>
          </w:tcPr>
          <w:p w14:paraId="00B80F5B">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w:t>
            </w:r>
          </w:p>
        </w:tc>
        <w:tc>
          <w:tcPr>
            <w:tcW w:w="808" w:type="dxa"/>
            <w:vMerge w:val="restart"/>
            <w:tcBorders>
              <w:top w:val="single" w:color="000000" w:sz="4" w:space="0"/>
              <w:left w:val="single" w:color="000000" w:sz="4" w:space="0"/>
              <w:right w:val="single" w:color="auto" w:sz="4" w:space="0"/>
              <w:tl2br w:val="nil"/>
              <w:tr2bl w:val="nil"/>
            </w:tcBorders>
            <w:vAlign w:val="center"/>
          </w:tcPr>
          <w:p w14:paraId="59F1C320">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w:t>
            </w:r>
          </w:p>
        </w:tc>
        <w:tc>
          <w:tcPr>
            <w:tcW w:w="989" w:type="dxa"/>
            <w:vMerge w:val="restart"/>
            <w:tcBorders>
              <w:top w:val="single" w:color="000000" w:sz="4" w:space="0"/>
              <w:left w:val="single" w:color="000000" w:sz="4" w:space="0"/>
              <w:right w:val="single" w:color="auto" w:sz="4" w:space="0"/>
              <w:tl2br w:val="nil"/>
              <w:tr2bl w:val="nil"/>
            </w:tcBorders>
            <w:vAlign w:val="center"/>
          </w:tcPr>
          <w:p w14:paraId="23F59BA2">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XX局</w:t>
            </w:r>
          </w:p>
        </w:tc>
      </w:tr>
      <w:tr w14:paraId="6B4C35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1" w:hRule="atLeast"/>
          <w:jc w:val="center"/>
        </w:trPr>
        <w:tc>
          <w:tcPr>
            <w:tcW w:w="702"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048E6F26">
            <w:pPr>
              <w:pStyle w:val="64"/>
              <w:jc w:val="both"/>
              <w:rPr>
                <w:rFonts w:hint="default" w:ascii="Times New Roman" w:hAnsi="Times New Roman" w:eastAsia="仿宋_GB2312" w:cs="Times New Roman"/>
                <w:sz w:val="24"/>
                <w:szCs w:val="24"/>
              </w:rPr>
            </w:pPr>
          </w:p>
        </w:tc>
        <w:tc>
          <w:tcPr>
            <w:tcW w:w="814" w:type="dxa"/>
            <w:vMerge w:val="continue"/>
            <w:tcBorders>
              <w:top w:val="single" w:color="000000" w:sz="4" w:space="0"/>
              <w:left w:val="single" w:color="auto" w:sz="4" w:space="0"/>
              <w:bottom w:val="single" w:color="000000" w:sz="4" w:space="0"/>
              <w:right w:val="single" w:color="000000" w:sz="4" w:space="0"/>
              <w:tl2br w:val="nil"/>
              <w:tr2bl w:val="nil"/>
            </w:tcBorders>
            <w:vAlign w:val="center"/>
          </w:tcPr>
          <w:p w14:paraId="6648B77D">
            <w:pPr>
              <w:pStyle w:val="64"/>
              <w:jc w:val="both"/>
              <w:rPr>
                <w:rFonts w:hint="default" w:ascii="Times New Roman" w:hAnsi="Times New Roman" w:eastAsia="仿宋_GB2312" w:cs="Times New Roman"/>
                <w:sz w:val="24"/>
                <w:szCs w:val="24"/>
              </w:rPr>
            </w:pPr>
          </w:p>
        </w:tc>
        <w:tc>
          <w:tcPr>
            <w:tcW w:w="883"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14:paraId="5024CEAE">
            <w:pPr>
              <w:pStyle w:val="64"/>
              <w:jc w:val="both"/>
              <w:rPr>
                <w:rFonts w:hint="default" w:ascii="Times New Roman" w:hAnsi="Times New Roman" w:eastAsia="仿宋_GB2312" w:cs="Times New Roman"/>
                <w:sz w:val="24"/>
                <w:szCs w:val="24"/>
              </w:rPr>
            </w:pPr>
          </w:p>
        </w:tc>
        <w:tc>
          <w:tcPr>
            <w:tcW w:w="565"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14:paraId="1A2B6352">
            <w:pPr>
              <w:pStyle w:val="64"/>
              <w:jc w:val="both"/>
              <w:rPr>
                <w:rFonts w:hint="default" w:ascii="Times New Roman" w:hAnsi="Times New Roman" w:eastAsia="仿宋_GB2312" w:cs="Times New Roman"/>
                <w:sz w:val="24"/>
                <w:szCs w:val="24"/>
              </w:rPr>
            </w:pPr>
          </w:p>
        </w:tc>
        <w:tc>
          <w:tcPr>
            <w:tcW w:w="989"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14:paraId="06D8AD37">
            <w:pPr>
              <w:pStyle w:val="64"/>
              <w:jc w:val="both"/>
              <w:rPr>
                <w:rFonts w:hint="default" w:ascii="Times New Roman" w:hAnsi="Times New Roman" w:eastAsia="仿宋_GB2312" w:cs="Times New Roman"/>
                <w:sz w:val="24"/>
                <w:szCs w:val="24"/>
              </w:rPr>
            </w:pPr>
          </w:p>
        </w:tc>
        <w:tc>
          <w:tcPr>
            <w:tcW w:w="899" w:type="dxa"/>
            <w:tcBorders>
              <w:top w:val="single" w:color="000000" w:sz="4" w:space="0"/>
              <w:left w:val="single" w:color="000000" w:sz="4" w:space="0"/>
              <w:bottom w:val="single" w:color="000000" w:sz="4" w:space="0"/>
              <w:right w:val="single" w:color="000000" w:sz="4" w:space="0"/>
              <w:tl2br w:val="nil"/>
              <w:tr2bl w:val="nil"/>
            </w:tcBorders>
            <w:vAlign w:val="center"/>
          </w:tcPr>
          <w:p w14:paraId="254AA01F">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2.XX</w:t>
            </w:r>
          </w:p>
        </w:tc>
        <w:tc>
          <w:tcPr>
            <w:tcW w:w="1033" w:type="dxa"/>
            <w:tcBorders>
              <w:top w:val="single" w:color="000000" w:sz="4" w:space="0"/>
              <w:left w:val="single" w:color="000000" w:sz="4" w:space="0"/>
              <w:bottom w:val="single" w:color="000000" w:sz="4" w:space="0"/>
              <w:right w:val="single" w:color="auto" w:sz="4" w:space="0"/>
              <w:tl2br w:val="nil"/>
              <w:tr2bl w:val="nil"/>
            </w:tcBorders>
            <w:vAlign w:val="center"/>
          </w:tcPr>
          <w:p w14:paraId="71FE1845">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X局</w:t>
            </w:r>
          </w:p>
        </w:tc>
        <w:tc>
          <w:tcPr>
            <w:tcW w:w="874" w:type="dxa"/>
            <w:tcBorders>
              <w:top w:val="single" w:color="000000" w:sz="4" w:space="0"/>
              <w:left w:val="single" w:color="000000" w:sz="4" w:space="0"/>
              <w:bottom w:val="single" w:color="000000" w:sz="4" w:space="0"/>
              <w:right w:val="single" w:color="auto" w:sz="4" w:space="0"/>
              <w:tl2br w:val="nil"/>
              <w:tr2bl w:val="nil"/>
            </w:tcBorders>
            <w:vAlign w:val="center"/>
          </w:tcPr>
          <w:p w14:paraId="255A9DE1">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w:t>
            </w:r>
          </w:p>
        </w:tc>
        <w:tc>
          <w:tcPr>
            <w:tcW w:w="808" w:type="dxa"/>
            <w:vMerge w:val="continue"/>
            <w:tcBorders>
              <w:left w:val="single" w:color="000000" w:sz="4" w:space="0"/>
              <w:bottom w:val="single" w:color="000000" w:sz="4" w:space="0"/>
              <w:right w:val="single" w:color="auto" w:sz="4" w:space="0"/>
              <w:tl2br w:val="nil"/>
              <w:tr2bl w:val="nil"/>
            </w:tcBorders>
            <w:vAlign w:val="center"/>
          </w:tcPr>
          <w:p w14:paraId="6CE46951">
            <w:pPr>
              <w:pStyle w:val="64"/>
              <w:jc w:val="both"/>
              <w:rPr>
                <w:rFonts w:hint="default" w:ascii="Times New Roman" w:hAnsi="Times New Roman" w:eastAsia="仿宋_GB2312" w:cs="Times New Roman"/>
                <w:sz w:val="24"/>
                <w:szCs w:val="24"/>
              </w:rPr>
            </w:pPr>
          </w:p>
        </w:tc>
        <w:tc>
          <w:tcPr>
            <w:tcW w:w="989" w:type="dxa"/>
            <w:vMerge w:val="continue"/>
            <w:tcBorders>
              <w:left w:val="single" w:color="000000" w:sz="4" w:space="0"/>
              <w:bottom w:val="single" w:color="000000" w:sz="4" w:space="0"/>
              <w:right w:val="single" w:color="auto" w:sz="4" w:space="0"/>
              <w:tl2br w:val="nil"/>
              <w:tr2bl w:val="nil"/>
            </w:tcBorders>
            <w:vAlign w:val="center"/>
          </w:tcPr>
          <w:p w14:paraId="14F27D05">
            <w:pPr>
              <w:pStyle w:val="64"/>
              <w:jc w:val="both"/>
              <w:rPr>
                <w:rFonts w:hint="default" w:ascii="Times New Roman" w:hAnsi="Times New Roman" w:eastAsia="仿宋_GB2312" w:cs="Times New Roman"/>
                <w:sz w:val="24"/>
                <w:szCs w:val="24"/>
              </w:rPr>
            </w:pPr>
          </w:p>
        </w:tc>
      </w:tr>
      <w:tr w14:paraId="05924B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702"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337B3933">
            <w:pPr>
              <w:pStyle w:val="64"/>
              <w:jc w:val="both"/>
              <w:rPr>
                <w:rFonts w:hint="default" w:ascii="Times New Roman" w:hAnsi="Times New Roman" w:eastAsia="仿宋_GB2312" w:cs="Times New Roman"/>
                <w:sz w:val="24"/>
                <w:szCs w:val="24"/>
              </w:rPr>
            </w:pPr>
          </w:p>
        </w:tc>
        <w:tc>
          <w:tcPr>
            <w:tcW w:w="814" w:type="dxa"/>
            <w:tcBorders>
              <w:top w:val="single" w:color="000000" w:sz="4" w:space="0"/>
              <w:left w:val="single" w:color="auto" w:sz="4" w:space="0"/>
              <w:bottom w:val="single" w:color="000000" w:sz="4" w:space="0"/>
              <w:right w:val="single" w:color="000000" w:sz="4" w:space="0"/>
              <w:tl2br w:val="nil"/>
              <w:tr2bl w:val="nil"/>
            </w:tcBorders>
            <w:vAlign w:val="center"/>
          </w:tcPr>
          <w:p w14:paraId="5EE13BBA">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p>
        </w:tc>
        <w:tc>
          <w:tcPr>
            <w:tcW w:w="883" w:type="dxa"/>
            <w:tcBorders>
              <w:top w:val="single" w:color="000000" w:sz="4" w:space="0"/>
              <w:left w:val="single" w:color="000000" w:sz="4" w:space="0"/>
              <w:bottom w:val="single" w:color="000000" w:sz="4" w:space="0"/>
              <w:right w:val="single" w:color="000000" w:sz="4" w:space="0"/>
              <w:tl2br w:val="nil"/>
              <w:tr2bl w:val="nil"/>
            </w:tcBorders>
            <w:vAlign w:val="center"/>
          </w:tcPr>
          <w:p w14:paraId="2D2B5483">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65" w:type="dxa"/>
            <w:tcBorders>
              <w:top w:val="single" w:color="000000" w:sz="4" w:space="0"/>
              <w:left w:val="single" w:color="000000" w:sz="4" w:space="0"/>
              <w:bottom w:val="single" w:color="000000" w:sz="4" w:space="0"/>
              <w:right w:val="single" w:color="000000" w:sz="4" w:space="0"/>
              <w:tl2br w:val="nil"/>
              <w:tr2bl w:val="nil"/>
            </w:tcBorders>
            <w:vAlign w:val="center"/>
          </w:tcPr>
          <w:p w14:paraId="1E330703">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989" w:type="dxa"/>
            <w:tcBorders>
              <w:top w:val="single" w:color="000000" w:sz="4" w:space="0"/>
              <w:left w:val="single" w:color="000000" w:sz="4" w:space="0"/>
              <w:bottom w:val="single" w:color="000000" w:sz="4" w:space="0"/>
              <w:right w:val="single" w:color="000000" w:sz="4" w:space="0"/>
              <w:tl2br w:val="nil"/>
              <w:tr2bl w:val="nil"/>
            </w:tcBorders>
            <w:vAlign w:val="center"/>
          </w:tcPr>
          <w:p w14:paraId="5E016B77">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899" w:type="dxa"/>
            <w:tcBorders>
              <w:top w:val="single" w:color="000000" w:sz="4" w:space="0"/>
              <w:left w:val="single" w:color="000000" w:sz="4" w:space="0"/>
              <w:bottom w:val="single" w:color="000000" w:sz="4" w:space="0"/>
              <w:right w:val="single" w:color="000000" w:sz="4" w:space="0"/>
              <w:tl2br w:val="nil"/>
              <w:tr2bl w:val="nil"/>
            </w:tcBorders>
            <w:vAlign w:val="center"/>
          </w:tcPr>
          <w:p w14:paraId="0FA0BD59">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033" w:type="dxa"/>
            <w:tcBorders>
              <w:top w:val="single" w:color="000000" w:sz="4" w:space="0"/>
              <w:left w:val="single" w:color="000000" w:sz="4" w:space="0"/>
              <w:bottom w:val="single" w:color="000000" w:sz="4" w:space="0"/>
              <w:right w:val="single" w:color="auto" w:sz="4" w:space="0"/>
              <w:tl2br w:val="nil"/>
              <w:tr2bl w:val="nil"/>
            </w:tcBorders>
            <w:vAlign w:val="center"/>
          </w:tcPr>
          <w:p w14:paraId="58182146">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874" w:type="dxa"/>
            <w:tcBorders>
              <w:top w:val="single" w:color="000000" w:sz="4" w:space="0"/>
              <w:left w:val="single" w:color="000000" w:sz="4" w:space="0"/>
              <w:bottom w:val="single" w:color="000000" w:sz="4" w:space="0"/>
              <w:right w:val="single" w:color="auto" w:sz="4" w:space="0"/>
              <w:tl2br w:val="nil"/>
              <w:tr2bl w:val="nil"/>
            </w:tcBorders>
            <w:vAlign w:val="center"/>
          </w:tcPr>
          <w:p w14:paraId="0BE39CE7">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808" w:type="dxa"/>
            <w:tcBorders>
              <w:top w:val="single" w:color="000000" w:sz="4" w:space="0"/>
              <w:left w:val="single" w:color="000000" w:sz="4" w:space="0"/>
              <w:bottom w:val="single" w:color="000000" w:sz="4" w:space="0"/>
              <w:right w:val="single" w:color="auto" w:sz="4" w:space="0"/>
              <w:tl2br w:val="nil"/>
              <w:tr2bl w:val="nil"/>
            </w:tcBorders>
            <w:vAlign w:val="center"/>
          </w:tcPr>
          <w:p w14:paraId="2D53633E">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989" w:type="dxa"/>
            <w:tcBorders>
              <w:top w:val="single" w:color="000000" w:sz="4" w:space="0"/>
              <w:left w:val="single" w:color="000000" w:sz="4" w:space="0"/>
              <w:bottom w:val="single" w:color="000000" w:sz="4" w:space="0"/>
              <w:right w:val="single" w:color="auto" w:sz="4" w:space="0"/>
              <w:tl2br w:val="nil"/>
              <w:tr2bl w:val="nil"/>
            </w:tcBorders>
            <w:vAlign w:val="center"/>
          </w:tcPr>
          <w:p w14:paraId="2FFA0E12">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r>
      <w:tr w14:paraId="26A5BF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702"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71B792F3">
            <w:pPr>
              <w:pStyle w:val="64"/>
              <w:jc w:val="both"/>
              <w:rPr>
                <w:rFonts w:hint="default" w:ascii="Times New Roman" w:hAnsi="Times New Roman" w:eastAsia="仿宋_GB2312" w:cs="Times New Roman"/>
                <w:sz w:val="24"/>
                <w:szCs w:val="24"/>
              </w:rPr>
            </w:pPr>
          </w:p>
        </w:tc>
        <w:tc>
          <w:tcPr>
            <w:tcW w:w="814" w:type="dxa"/>
            <w:tcBorders>
              <w:top w:val="single" w:color="000000" w:sz="4" w:space="0"/>
              <w:left w:val="single" w:color="auto" w:sz="4" w:space="0"/>
              <w:bottom w:val="single" w:color="000000" w:sz="4" w:space="0"/>
              <w:right w:val="single" w:color="000000" w:sz="4" w:space="0"/>
              <w:tl2br w:val="nil"/>
              <w:tr2bl w:val="nil"/>
            </w:tcBorders>
            <w:vAlign w:val="center"/>
          </w:tcPr>
          <w:p w14:paraId="0CC58025">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883" w:type="dxa"/>
            <w:tcBorders>
              <w:top w:val="single" w:color="000000" w:sz="4" w:space="0"/>
              <w:left w:val="single" w:color="000000" w:sz="4" w:space="0"/>
              <w:bottom w:val="single" w:color="000000" w:sz="4" w:space="0"/>
              <w:right w:val="single" w:color="000000" w:sz="4" w:space="0"/>
              <w:tl2br w:val="nil"/>
              <w:tr2bl w:val="nil"/>
            </w:tcBorders>
            <w:vAlign w:val="center"/>
          </w:tcPr>
          <w:p w14:paraId="56FE246E">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65" w:type="dxa"/>
            <w:tcBorders>
              <w:top w:val="single" w:color="000000" w:sz="4" w:space="0"/>
              <w:left w:val="single" w:color="000000" w:sz="4" w:space="0"/>
              <w:bottom w:val="single" w:color="000000" w:sz="4" w:space="0"/>
              <w:right w:val="single" w:color="000000" w:sz="4" w:space="0"/>
              <w:tl2br w:val="nil"/>
              <w:tr2bl w:val="nil"/>
            </w:tcBorders>
            <w:vAlign w:val="center"/>
          </w:tcPr>
          <w:p w14:paraId="5100DB2D">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989" w:type="dxa"/>
            <w:tcBorders>
              <w:top w:val="single" w:color="000000" w:sz="4" w:space="0"/>
              <w:left w:val="single" w:color="000000" w:sz="4" w:space="0"/>
              <w:bottom w:val="single" w:color="000000" w:sz="4" w:space="0"/>
              <w:right w:val="single" w:color="000000" w:sz="4" w:space="0"/>
              <w:tl2br w:val="nil"/>
              <w:tr2bl w:val="nil"/>
            </w:tcBorders>
            <w:vAlign w:val="center"/>
          </w:tcPr>
          <w:p w14:paraId="14D84C95">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899" w:type="dxa"/>
            <w:tcBorders>
              <w:top w:val="single" w:color="000000" w:sz="4" w:space="0"/>
              <w:left w:val="single" w:color="000000" w:sz="4" w:space="0"/>
              <w:bottom w:val="single" w:color="000000" w:sz="4" w:space="0"/>
              <w:right w:val="single" w:color="000000" w:sz="4" w:space="0"/>
              <w:tl2br w:val="nil"/>
              <w:tr2bl w:val="nil"/>
            </w:tcBorders>
            <w:vAlign w:val="center"/>
          </w:tcPr>
          <w:p w14:paraId="679B66E5">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033" w:type="dxa"/>
            <w:tcBorders>
              <w:top w:val="single" w:color="000000" w:sz="4" w:space="0"/>
              <w:left w:val="single" w:color="000000" w:sz="4" w:space="0"/>
              <w:bottom w:val="single" w:color="000000" w:sz="4" w:space="0"/>
              <w:right w:val="single" w:color="auto" w:sz="4" w:space="0"/>
              <w:tl2br w:val="nil"/>
              <w:tr2bl w:val="nil"/>
            </w:tcBorders>
            <w:vAlign w:val="center"/>
          </w:tcPr>
          <w:p w14:paraId="1BD80D91">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874" w:type="dxa"/>
            <w:tcBorders>
              <w:top w:val="single" w:color="000000" w:sz="4" w:space="0"/>
              <w:left w:val="single" w:color="000000" w:sz="4" w:space="0"/>
              <w:bottom w:val="single" w:color="000000" w:sz="4" w:space="0"/>
              <w:right w:val="single" w:color="auto" w:sz="4" w:space="0"/>
              <w:tl2br w:val="nil"/>
              <w:tr2bl w:val="nil"/>
            </w:tcBorders>
            <w:vAlign w:val="center"/>
          </w:tcPr>
          <w:p w14:paraId="51B02640">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808" w:type="dxa"/>
            <w:tcBorders>
              <w:top w:val="single" w:color="000000" w:sz="4" w:space="0"/>
              <w:left w:val="single" w:color="000000" w:sz="4" w:space="0"/>
              <w:bottom w:val="single" w:color="000000" w:sz="4" w:space="0"/>
              <w:right w:val="single" w:color="auto" w:sz="4" w:space="0"/>
              <w:tl2br w:val="nil"/>
              <w:tr2bl w:val="nil"/>
            </w:tcBorders>
            <w:vAlign w:val="center"/>
          </w:tcPr>
          <w:p w14:paraId="73AB97FA">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989" w:type="dxa"/>
            <w:tcBorders>
              <w:top w:val="single" w:color="000000" w:sz="4" w:space="0"/>
              <w:left w:val="single" w:color="000000" w:sz="4" w:space="0"/>
              <w:bottom w:val="single" w:color="000000" w:sz="4" w:space="0"/>
              <w:right w:val="single" w:color="auto" w:sz="4" w:space="0"/>
              <w:tl2br w:val="nil"/>
              <w:tr2bl w:val="nil"/>
            </w:tcBorders>
            <w:vAlign w:val="center"/>
          </w:tcPr>
          <w:p w14:paraId="4F7A0859">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r>
      <w:tr w14:paraId="50572D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702" w:type="dxa"/>
            <w:vMerge w:val="restart"/>
            <w:tcBorders>
              <w:top w:val="single" w:color="auto" w:sz="4" w:space="0"/>
              <w:left w:val="single" w:color="auto" w:sz="4" w:space="0"/>
              <w:bottom w:val="nil"/>
              <w:right w:val="single" w:color="auto" w:sz="4" w:space="0"/>
              <w:tl2br w:val="nil"/>
              <w:tr2bl w:val="nil"/>
            </w:tcBorders>
            <w:vAlign w:val="center"/>
          </w:tcPr>
          <w:p w14:paraId="0AD406A2">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814" w:type="dxa"/>
            <w:tcBorders>
              <w:top w:val="single" w:color="000000" w:sz="4" w:space="0"/>
              <w:left w:val="single" w:color="auto" w:sz="4" w:space="0"/>
              <w:bottom w:val="single" w:color="000000" w:sz="4" w:space="0"/>
              <w:right w:val="single" w:color="000000" w:sz="4" w:space="0"/>
              <w:tl2br w:val="nil"/>
              <w:tr2bl w:val="nil"/>
            </w:tcBorders>
            <w:vAlign w:val="center"/>
          </w:tcPr>
          <w:p w14:paraId="11A60526">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883" w:type="dxa"/>
            <w:tcBorders>
              <w:top w:val="single" w:color="000000" w:sz="4" w:space="0"/>
              <w:left w:val="single" w:color="000000" w:sz="4" w:space="0"/>
              <w:bottom w:val="single" w:color="000000" w:sz="4" w:space="0"/>
              <w:right w:val="single" w:color="000000" w:sz="4" w:space="0"/>
              <w:tl2br w:val="nil"/>
              <w:tr2bl w:val="nil"/>
            </w:tcBorders>
            <w:vAlign w:val="center"/>
          </w:tcPr>
          <w:p w14:paraId="13579FF2">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65" w:type="dxa"/>
            <w:tcBorders>
              <w:top w:val="single" w:color="000000" w:sz="4" w:space="0"/>
              <w:left w:val="single" w:color="000000" w:sz="4" w:space="0"/>
              <w:bottom w:val="single" w:color="000000" w:sz="4" w:space="0"/>
              <w:right w:val="single" w:color="000000" w:sz="4" w:space="0"/>
              <w:tl2br w:val="nil"/>
              <w:tr2bl w:val="nil"/>
            </w:tcBorders>
            <w:vAlign w:val="center"/>
          </w:tcPr>
          <w:p w14:paraId="3DEE44EA">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989" w:type="dxa"/>
            <w:tcBorders>
              <w:top w:val="single" w:color="000000" w:sz="4" w:space="0"/>
              <w:left w:val="single" w:color="000000" w:sz="4" w:space="0"/>
              <w:bottom w:val="single" w:color="000000" w:sz="4" w:space="0"/>
              <w:right w:val="single" w:color="000000" w:sz="4" w:space="0"/>
              <w:tl2br w:val="nil"/>
              <w:tr2bl w:val="nil"/>
            </w:tcBorders>
            <w:vAlign w:val="center"/>
          </w:tcPr>
          <w:p w14:paraId="777D3724">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899" w:type="dxa"/>
            <w:tcBorders>
              <w:top w:val="single" w:color="000000" w:sz="4" w:space="0"/>
              <w:left w:val="single" w:color="000000" w:sz="4" w:space="0"/>
              <w:bottom w:val="single" w:color="000000" w:sz="4" w:space="0"/>
              <w:right w:val="single" w:color="000000" w:sz="4" w:space="0"/>
              <w:tl2br w:val="nil"/>
              <w:tr2bl w:val="nil"/>
            </w:tcBorders>
            <w:vAlign w:val="center"/>
          </w:tcPr>
          <w:p w14:paraId="50A15B2C">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033" w:type="dxa"/>
            <w:tcBorders>
              <w:top w:val="single" w:color="000000" w:sz="4" w:space="0"/>
              <w:left w:val="single" w:color="000000" w:sz="4" w:space="0"/>
              <w:bottom w:val="single" w:color="000000" w:sz="4" w:space="0"/>
              <w:right w:val="single" w:color="auto" w:sz="4" w:space="0"/>
              <w:tl2br w:val="nil"/>
              <w:tr2bl w:val="nil"/>
            </w:tcBorders>
            <w:vAlign w:val="center"/>
          </w:tcPr>
          <w:p w14:paraId="3FDF7592">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874" w:type="dxa"/>
            <w:tcBorders>
              <w:top w:val="single" w:color="000000" w:sz="4" w:space="0"/>
              <w:left w:val="single" w:color="000000" w:sz="4" w:space="0"/>
              <w:bottom w:val="single" w:color="000000" w:sz="4" w:space="0"/>
              <w:right w:val="single" w:color="auto" w:sz="4" w:space="0"/>
              <w:tl2br w:val="nil"/>
              <w:tr2bl w:val="nil"/>
            </w:tcBorders>
            <w:vAlign w:val="center"/>
          </w:tcPr>
          <w:p w14:paraId="219C364C">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808" w:type="dxa"/>
            <w:tcBorders>
              <w:top w:val="single" w:color="000000" w:sz="4" w:space="0"/>
              <w:left w:val="single" w:color="000000" w:sz="4" w:space="0"/>
              <w:bottom w:val="single" w:color="000000" w:sz="4" w:space="0"/>
              <w:right w:val="single" w:color="auto" w:sz="4" w:space="0"/>
              <w:tl2br w:val="nil"/>
              <w:tr2bl w:val="nil"/>
            </w:tcBorders>
            <w:vAlign w:val="center"/>
          </w:tcPr>
          <w:p w14:paraId="2F2D3C91">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989" w:type="dxa"/>
            <w:tcBorders>
              <w:top w:val="single" w:color="000000" w:sz="4" w:space="0"/>
              <w:left w:val="single" w:color="000000" w:sz="4" w:space="0"/>
              <w:bottom w:val="single" w:color="000000" w:sz="4" w:space="0"/>
              <w:right w:val="single" w:color="auto" w:sz="4" w:space="0"/>
              <w:tl2br w:val="nil"/>
              <w:tr2bl w:val="nil"/>
            </w:tcBorders>
            <w:vAlign w:val="center"/>
          </w:tcPr>
          <w:p w14:paraId="75505599">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r>
      <w:tr w14:paraId="1AE14E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02" w:type="dxa"/>
            <w:vMerge w:val="continue"/>
            <w:tcBorders>
              <w:top w:val="nil"/>
              <w:left w:val="single" w:color="auto" w:sz="4" w:space="0"/>
              <w:bottom w:val="single" w:color="auto" w:sz="4" w:space="0"/>
              <w:right w:val="single" w:color="auto" w:sz="4" w:space="0"/>
              <w:tl2br w:val="nil"/>
              <w:tr2bl w:val="nil"/>
            </w:tcBorders>
            <w:vAlign w:val="center"/>
          </w:tcPr>
          <w:p w14:paraId="7F363D0C">
            <w:pPr>
              <w:pStyle w:val="64"/>
              <w:jc w:val="both"/>
              <w:rPr>
                <w:rFonts w:hint="default" w:ascii="Times New Roman" w:hAnsi="Times New Roman" w:eastAsia="仿宋_GB2312" w:cs="Times New Roman"/>
                <w:sz w:val="24"/>
                <w:szCs w:val="24"/>
              </w:rPr>
            </w:pPr>
          </w:p>
        </w:tc>
        <w:tc>
          <w:tcPr>
            <w:tcW w:w="814" w:type="dxa"/>
            <w:tcBorders>
              <w:top w:val="single" w:color="000000" w:sz="4" w:space="0"/>
              <w:left w:val="single" w:color="auto" w:sz="4" w:space="0"/>
              <w:bottom w:val="single" w:color="000000" w:sz="4" w:space="0"/>
              <w:right w:val="single" w:color="000000" w:sz="4" w:space="0"/>
              <w:tl2br w:val="nil"/>
              <w:tr2bl w:val="nil"/>
            </w:tcBorders>
            <w:vAlign w:val="center"/>
          </w:tcPr>
          <w:p w14:paraId="6A1EC8F0">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883" w:type="dxa"/>
            <w:tcBorders>
              <w:top w:val="single" w:color="000000" w:sz="4" w:space="0"/>
              <w:left w:val="single" w:color="000000" w:sz="4" w:space="0"/>
              <w:bottom w:val="single" w:color="000000" w:sz="4" w:space="0"/>
              <w:right w:val="single" w:color="000000" w:sz="4" w:space="0"/>
              <w:tl2br w:val="nil"/>
              <w:tr2bl w:val="nil"/>
            </w:tcBorders>
            <w:vAlign w:val="center"/>
          </w:tcPr>
          <w:p w14:paraId="3532F314">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65" w:type="dxa"/>
            <w:tcBorders>
              <w:top w:val="single" w:color="000000" w:sz="4" w:space="0"/>
              <w:left w:val="single" w:color="000000" w:sz="4" w:space="0"/>
              <w:bottom w:val="single" w:color="000000" w:sz="4" w:space="0"/>
              <w:right w:val="single" w:color="000000" w:sz="4" w:space="0"/>
              <w:tl2br w:val="nil"/>
              <w:tr2bl w:val="nil"/>
            </w:tcBorders>
            <w:vAlign w:val="center"/>
          </w:tcPr>
          <w:p w14:paraId="34EEC716">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989" w:type="dxa"/>
            <w:tcBorders>
              <w:top w:val="single" w:color="000000" w:sz="4" w:space="0"/>
              <w:left w:val="single" w:color="000000" w:sz="4" w:space="0"/>
              <w:bottom w:val="single" w:color="000000" w:sz="4" w:space="0"/>
              <w:right w:val="single" w:color="000000" w:sz="4" w:space="0"/>
              <w:tl2br w:val="nil"/>
              <w:tr2bl w:val="nil"/>
            </w:tcBorders>
            <w:vAlign w:val="center"/>
          </w:tcPr>
          <w:p w14:paraId="43C5A16E">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899" w:type="dxa"/>
            <w:tcBorders>
              <w:top w:val="single" w:color="000000" w:sz="4" w:space="0"/>
              <w:left w:val="single" w:color="000000" w:sz="4" w:space="0"/>
              <w:bottom w:val="single" w:color="000000" w:sz="4" w:space="0"/>
              <w:right w:val="single" w:color="000000" w:sz="4" w:space="0"/>
              <w:tl2br w:val="nil"/>
              <w:tr2bl w:val="nil"/>
            </w:tcBorders>
            <w:vAlign w:val="center"/>
          </w:tcPr>
          <w:p w14:paraId="18F22BA0">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033" w:type="dxa"/>
            <w:tcBorders>
              <w:top w:val="single" w:color="000000" w:sz="4" w:space="0"/>
              <w:left w:val="single" w:color="000000" w:sz="4" w:space="0"/>
              <w:bottom w:val="single" w:color="000000" w:sz="4" w:space="0"/>
              <w:right w:val="single" w:color="auto" w:sz="4" w:space="0"/>
              <w:tl2br w:val="nil"/>
              <w:tr2bl w:val="nil"/>
            </w:tcBorders>
            <w:vAlign w:val="center"/>
          </w:tcPr>
          <w:p w14:paraId="41D339E4">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874" w:type="dxa"/>
            <w:tcBorders>
              <w:top w:val="single" w:color="000000" w:sz="4" w:space="0"/>
              <w:left w:val="single" w:color="000000" w:sz="4" w:space="0"/>
              <w:bottom w:val="single" w:color="000000" w:sz="4" w:space="0"/>
              <w:right w:val="single" w:color="auto" w:sz="4" w:space="0"/>
              <w:tl2br w:val="nil"/>
              <w:tr2bl w:val="nil"/>
            </w:tcBorders>
            <w:vAlign w:val="center"/>
          </w:tcPr>
          <w:p w14:paraId="1952DB06">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808" w:type="dxa"/>
            <w:tcBorders>
              <w:top w:val="single" w:color="000000" w:sz="4" w:space="0"/>
              <w:left w:val="single" w:color="000000" w:sz="4" w:space="0"/>
              <w:bottom w:val="single" w:color="000000" w:sz="4" w:space="0"/>
              <w:right w:val="single" w:color="auto" w:sz="4" w:space="0"/>
              <w:tl2br w:val="nil"/>
              <w:tr2bl w:val="nil"/>
            </w:tcBorders>
            <w:vAlign w:val="center"/>
          </w:tcPr>
          <w:p w14:paraId="7326A78A">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989" w:type="dxa"/>
            <w:tcBorders>
              <w:top w:val="single" w:color="000000" w:sz="4" w:space="0"/>
              <w:left w:val="single" w:color="000000" w:sz="4" w:space="0"/>
              <w:bottom w:val="single" w:color="000000" w:sz="4" w:space="0"/>
              <w:right w:val="single" w:color="auto" w:sz="4" w:space="0"/>
              <w:tl2br w:val="nil"/>
              <w:tr2bl w:val="nil"/>
            </w:tcBorders>
            <w:vAlign w:val="center"/>
          </w:tcPr>
          <w:p w14:paraId="0D70B4DE">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r>
    </w:tbl>
    <w:p w14:paraId="257F12E5">
      <w:pPr>
        <w:pStyle w:val="61"/>
        <w:numPr>
          <w:ilvl w:val="0"/>
          <w:numId w:val="0"/>
        </w:numPr>
        <w:spacing w:before="0" w:beforeLines="0" w:after="0" w:afterLines="0"/>
        <w:ind w:left="420" w:hanging="420"/>
        <w:rPr>
          <w:rFonts w:hint="default" w:ascii="Times New Roman" w:hAnsi="Times New Roman" w:eastAsia="仿宋" w:cs="Times New Roman"/>
          <w:b/>
          <w:bCs/>
          <w:color w:val="000000"/>
          <w:sz w:val="24"/>
          <w:szCs w:val="24"/>
        </w:rPr>
      </w:pPr>
    </w:p>
    <w:p w14:paraId="7D65C4A9">
      <w:pPr>
        <w:pStyle w:val="61"/>
        <w:numPr>
          <w:ilvl w:val="0"/>
          <w:numId w:val="0"/>
        </w:numPr>
        <w:spacing w:before="0" w:beforeLines="0" w:after="0" w:afterLines="0"/>
        <w:ind w:left="420" w:hanging="420"/>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表3 城市发展优势清单</w:t>
      </w:r>
    </w:p>
    <w:tbl>
      <w:tblPr>
        <w:tblStyle w:val="28"/>
        <w:tblW w:w="4950" w:type="pct"/>
        <w:jc w:val="center"/>
        <w:tblLayout w:type="autofit"/>
        <w:tblCellMar>
          <w:top w:w="0" w:type="dxa"/>
          <w:left w:w="108" w:type="dxa"/>
          <w:bottom w:w="0" w:type="dxa"/>
          <w:right w:w="108" w:type="dxa"/>
        </w:tblCellMar>
      </w:tblPr>
      <w:tblGrid>
        <w:gridCol w:w="2136"/>
        <w:gridCol w:w="868"/>
        <w:gridCol w:w="939"/>
        <w:gridCol w:w="868"/>
        <w:gridCol w:w="870"/>
        <w:gridCol w:w="1879"/>
        <w:gridCol w:w="877"/>
      </w:tblGrid>
      <w:tr w14:paraId="14AA739B">
        <w:tblPrEx>
          <w:tblCellMar>
            <w:top w:w="0" w:type="dxa"/>
            <w:left w:w="108" w:type="dxa"/>
            <w:bottom w:w="0" w:type="dxa"/>
            <w:right w:w="108" w:type="dxa"/>
          </w:tblCellMar>
        </w:tblPrEx>
        <w:trPr>
          <w:trHeight w:val="578" w:hRule="atLeast"/>
          <w:jc w:val="center"/>
        </w:trPr>
        <w:tc>
          <w:tcPr>
            <w:tcW w:w="1259" w:type="pct"/>
            <w:tcBorders>
              <w:top w:val="single" w:color="000000" w:sz="4" w:space="0"/>
              <w:left w:val="single" w:color="000000" w:sz="4" w:space="0"/>
              <w:bottom w:val="single" w:color="000000" w:sz="4" w:space="0"/>
              <w:right w:val="single" w:color="000000" w:sz="4" w:space="0"/>
            </w:tcBorders>
            <w:noWrap/>
            <w:vAlign w:val="center"/>
          </w:tcPr>
          <w:p w14:paraId="48FDB62B">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城市发展优势</w:t>
            </w:r>
          </w:p>
        </w:tc>
        <w:tc>
          <w:tcPr>
            <w:tcW w:w="517" w:type="pct"/>
            <w:tcBorders>
              <w:top w:val="single" w:color="000000" w:sz="4" w:space="0"/>
              <w:left w:val="single" w:color="000000" w:sz="4" w:space="0"/>
              <w:bottom w:val="single" w:color="000000" w:sz="4" w:space="0"/>
              <w:right w:val="single" w:color="000000" w:sz="4" w:space="0"/>
            </w:tcBorders>
            <w:noWrap/>
            <w:vAlign w:val="center"/>
          </w:tcPr>
          <w:p w14:paraId="50A7EF56">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优势</w:t>
            </w:r>
          </w:p>
          <w:p w14:paraId="2A4C4EAF">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指标</w:t>
            </w:r>
          </w:p>
        </w:tc>
        <w:tc>
          <w:tcPr>
            <w:tcW w:w="552" w:type="pct"/>
            <w:tcBorders>
              <w:top w:val="single" w:color="000000" w:sz="4" w:space="0"/>
              <w:left w:val="single" w:color="000000" w:sz="4" w:space="0"/>
              <w:bottom w:val="single" w:color="000000" w:sz="4" w:space="0"/>
              <w:right w:val="single" w:color="000000" w:sz="4" w:space="0"/>
            </w:tcBorders>
            <w:noWrap/>
            <w:vAlign w:val="center"/>
          </w:tcPr>
          <w:p w14:paraId="4223A214">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指标值</w:t>
            </w:r>
          </w:p>
        </w:tc>
        <w:tc>
          <w:tcPr>
            <w:tcW w:w="517" w:type="pct"/>
            <w:tcBorders>
              <w:top w:val="single" w:color="000000" w:sz="4" w:space="0"/>
              <w:left w:val="single" w:color="000000" w:sz="4" w:space="0"/>
              <w:bottom w:val="single" w:color="000000" w:sz="4" w:space="0"/>
              <w:right w:val="single" w:color="000000" w:sz="4" w:space="0"/>
            </w:tcBorders>
            <w:noWrap/>
            <w:vAlign w:val="center"/>
          </w:tcPr>
          <w:p w14:paraId="140836CE">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评价</w:t>
            </w:r>
          </w:p>
          <w:p w14:paraId="6F1DC35C">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标准</w:t>
            </w:r>
          </w:p>
        </w:tc>
        <w:tc>
          <w:tcPr>
            <w:tcW w:w="518" w:type="pct"/>
            <w:tcBorders>
              <w:top w:val="single" w:color="000000" w:sz="4" w:space="0"/>
              <w:left w:val="single" w:color="000000" w:sz="4" w:space="0"/>
              <w:bottom w:val="single" w:color="000000" w:sz="4" w:space="0"/>
              <w:right w:val="single" w:color="000000" w:sz="4" w:space="0"/>
            </w:tcBorders>
            <w:noWrap/>
            <w:vAlign w:val="center"/>
          </w:tcPr>
          <w:p w14:paraId="3CDBD9CF">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指标</w:t>
            </w:r>
          </w:p>
          <w:p w14:paraId="352D2EA0">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评价</w:t>
            </w:r>
          </w:p>
        </w:tc>
        <w:tc>
          <w:tcPr>
            <w:tcW w:w="1115" w:type="pct"/>
            <w:tcBorders>
              <w:top w:val="single" w:color="000000" w:sz="4" w:space="0"/>
              <w:left w:val="single" w:color="000000" w:sz="4" w:space="0"/>
              <w:bottom w:val="single" w:color="000000" w:sz="4" w:space="0"/>
              <w:right w:val="single" w:color="000000" w:sz="4" w:space="0"/>
            </w:tcBorders>
            <w:noWrap/>
            <w:vAlign w:val="center"/>
          </w:tcPr>
          <w:p w14:paraId="2166E0BE">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领先水平</w:t>
            </w:r>
          </w:p>
        </w:tc>
        <w:tc>
          <w:tcPr>
            <w:tcW w:w="517" w:type="pct"/>
            <w:tcBorders>
              <w:top w:val="single" w:color="000000" w:sz="4" w:space="0"/>
              <w:left w:val="single" w:color="000000" w:sz="4" w:space="0"/>
              <w:bottom w:val="single" w:color="000000" w:sz="4" w:space="0"/>
              <w:right w:val="single" w:color="000000" w:sz="4" w:space="0"/>
            </w:tcBorders>
            <w:noWrap/>
            <w:vAlign w:val="center"/>
          </w:tcPr>
          <w:p w14:paraId="13F688E7">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优势</w:t>
            </w:r>
          </w:p>
          <w:p w14:paraId="3BC5491F">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原因</w:t>
            </w:r>
          </w:p>
        </w:tc>
      </w:tr>
      <w:tr w14:paraId="74AB3D2B">
        <w:tblPrEx>
          <w:tblCellMar>
            <w:top w:w="0" w:type="dxa"/>
            <w:left w:w="108" w:type="dxa"/>
            <w:bottom w:w="0" w:type="dxa"/>
            <w:right w:w="108" w:type="dxa"/>
          </w:tblCellMar>
        </w:tblPrEx>
        <w:trPr>
          <w:trHeight w:val="578" w:hRule="atLeast"/>
          <w:jc w:val="center"/>
        </w:trPr>
        <w:tc>
          <w:tcPr>
            <w:tcW w:w="1259" w:type="pct"/>
            <w:vMerge w:val="restart"/>
            <w:tcBorders>
              <w:top w:val="single" w:color="000000" w:sz="4" w:space="0"/>
              <w:left w:val="single" w:color="000000" w:sz="4" w:space="0"/>
              <w:bottom w:val="single" w:color="000000" w:sz="4" w:space="0"/>
              <w:right w:val="single" w:color="000000" w:sz="4" w:space="0"/>
            </w:tcBorders>
            <w:noWrap/>
            <w:vAlign w:val="center"/>
          </w:tcPr>
          <w:p w14:paraId="5EC825C7">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生态环境持续改善</w:t>
            </w:r>
          </w:p>
        </w:tc>
        <w:tc>
          <w:tcPr>
            <w:tcW w:w="517" w:type="pct"/>
            <w:tcBorders>
              <w:top w:val="single" w:color="000000" w:sz="4" w:space="0"/>
              <w:left w:val="single" w:color="000000" w:sz="4" w:space="0"/>
              <w:bottom w:val="single" w:color="000000" w:sz="4" w:space="0"/>
              <w:right w:val="single" w:color="000000" w:sz="4" w:space="0"/>
            </w:tcBorders>
            <w:vAlign w:val="center"/>
          </w:tcPr>
          <w:p w14:paraId="00AACA3D">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w:t>
            </w:r>
          </w:p>
        </w:tc>
        <w:tc>
          <w:tcPr>
            <w:tcW w:w="552" w:type="pct"/>
            <w:tcBorders>
              <w:top w:val="single" w:color="000000" w:sz="4" w:space="0"/>
              <w:left w:val="single" w:color="000000" w:sz="4" w:space="0"/>
              <w:bottom w:val="single" w:color="000000" w:sz="4" w:space="0"/>
              <w:right w:val="single" w:color="000000" w:sz="4" w:space="0"/>
            </w:tcBorders>
            <w:vAlign w:val="center"/>
          </w:tcPr>
          <w:p w14:paraId="66144333">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w:t>
            </w:r>
          </w:p>
        </w:tc>
        <w:tc>
          <w:tcPr>
            <w:tcW w:w="517" w:type="pct"/>
            <w:tcBorders>
              <w:top w:val="single" w:color="000000" w:sz="4" w:space="0"/>
              <w:left w:val="single" w:color="000000" w:sz="4" w:space="0"/>
              <w:bottom w:val="single" w:color="000000" w:sz="4" w:space="0"/>
              <w:right w:val="single" w:color="000000" w:sz="4" w:space="0"/>
            </w:tcBorders>
            <w:vAlign w:val="center"/>
          </w:tcPr>
          <w:p w14:paraId="5DEFBCAD">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w:t>
            </w:r>
          </w:p>
        </w:tc>
        <w:tc>
          <w:tcPr>
            <w:tcW w:w="518" w:type="pct"/>
            <w:tcBorders>
              <w:top w:val="single" w:color="000000" w:sz="4" w:space="0"/>
              <w:left w:val="single" w:color="000000" w:sz="4" w:space="0"/>
              <w:bottom w:val="single" w:color="000000" w:sz="4" w:space="0"/>
              <w:right w:val="single" w:color="000000" w:sz="4" w:space="0"/>
            </w:tcBorders>
            <w:vAlign w:val="center"/>
          </w:tcPr>
          <w:p w14:paraId="1A7D0865">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很好</w:t>
            </w:r>
          </w:p>
        </w:tc>
        <w:tc>
          <w:tcPr>
            <w:tcW w:w="1115" w:type="pct"/>
            <w:tcBorders>
              <w:top w:val="single" w:color="000000" w:sz="4" w:space="0"/>
              <w:left w:val="single" w:color="000000" w:sz="4" w:space="0"/>
              <w:bottom w:val="single" w:color="000000" w:sz="4" w:space="0"/>
              <w:right w:val="single" w:color="000000" w:sz="4" w:space="0"/>
            </w:tcBorders>
            <w:vAlign w:val="center"/>
          </w:tcPr>
          <w:p w14:paraId="1CF319EA">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在该方面的具体成效。</w:t>
            </w:r>
          </w:p>
        </w:tc>
        <w:tc>
          <w:tcPr>
            <w:tcW w:w="517" w:type="pct"/>
            <w:tcBorders>
              <w:top w:val="single" w:color="000000" w:sz="4" w:space="0"/>
              <w:left w:val="single" w:color="000000" w:sz="4" w:space="0"/>
              <w:bottom w:val="nil"/>
              <w:right w:val="single" w:color="000000" w:sz="4" w:space="0"/>
            </w:tcBorders>
            <w:vAlign w:val="center"/>
          </w:tcPr>
          <w:p w14:paraId="58F6838B">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1.XX</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sz w:val="24"/>
                <w:szCs w:val="24"/>
              </w:rPr>
              <w:t>2.……</w:t>
            </w:r>
          </w:p>
        </w:tc>
      </w:tr>
      <w:tr w14:paraId="61A1BF74">
        <w:tblPrEx>
          <w:tblCellMar>
            <w:top w:w="0" w:type="dxa"/>
            <w:left w:w="108" w:type="dxa"/>
            <w:bottom w:w="0" w:type="dxa"/>
            <w:right w:w="108" w:type="dxa"/>
          </w:tblCellMar>
        </w:tblPrEx>
        <w:trPr>
          <w:trHeight w:val="293" w:hRule="atLeast"/>
          <w:jc w:val="center"/>
        </w:trPr>
        <w:tc>
          <w:tcPr>
            <w:tcW w:w="1259" w:type="pct"/>
            <w:vMerge w:val="continue"/>
            <w:tcBorders>
              <w:top w:val="single" w:color="000000" w:sz="4" w:space="0"/>
              <w:left w:val="single" w:color="000000" w:sz="4" w:space="0"/>
              <w:bottom w:val="single" w:color="000000" w:sz="4" w:space="0"/>
              <w:right w:val="single" w:color="000000" w:sz="4" w:space="0"/>
            </w:tcBorders>
            <w:noWrap/>
            <w:vAlign w:val="center"/>
          </w:tcPr>
          <w:p w14:paraId="040D2361">
            <w:pPr>
              <w:pStyle w:val="64"/>
              <w:jc w:val="both"/>
              <w:rPr>
                <w:rFonts w:hint="default" w:ascii="Times New Roman" w:hAnsi="Times New Roman" w:eastAsia="仿宋_GB2312" w:cs="Times New Roman"/>
                <w:sz w:val="24"/>
                <w:szCs w:val="24"/>
              </w:rPr>
            </w:pPr>
          </w:p>
        </w:tc>
        <w:tc>
          <w:tcPr>
            <w:tcW w:w="517" w:type="pct"/>
            <w:tcBorders>
              <w:top w:val="single" w:color="000000" w:sz="4" w:space="0"/>
              <w:left w:val="single" w:color="000000" w:sz="4" w:space="0"/>
              <w:bottom w:val="single" w:color="000000" w:sz="4" w:space="0"/>
              <w:right w:val="single" w:color="000000" w:sz="4" w:space="0"/>
            </w:tcBorders>
            <w:noWrap/>
            <w:vAlign w:val="center"/>
          </w:tcPr>
          <w:p w14:paraId="348A6D99">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52" w:type="pct"/>
            <w:tcBorders>
              <w:top w:val="single" w:color="000000" w:sz="4" w:space="0"/>
              <w:left w:val="single" w:color="000000" w:sz="4" w:space="0"/>
              <w:bottom w:val="single" w:color="000000" w:sz="4" w:space="0"/>
              <w:right w:val="single" w:color="000000" w:sz="4" w:space="0"/>
            </w:tcBorders>
            <w:noWrap/>
            <w:vAlign w:val="center"/>
          </w:tcPr>
          <w:p w14:paraId="7AABFC64">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17" w:type="pct"/>
            <w:tcBorders>
              <w:top w:val="single" w:color="000000" w:sz="4" w:space="0"/>
              <w:left w:val="single" w:color="000000" w:sz="4" w:space="0"/>
              <w:bottom w:val="single" w:color="000000" w:sz="4" w:space="0"/>
              <w:right w:val="single" w:color="000000" w:sz="4" w:space="0"/>
            </w:tcBorders>
            <w:noWrap/>
            <w:vAlign w:val="center"/>
          </w:tcPr>
          <w:p w14:paraId="7B6A71A0">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18" w:type="pct"/>
            <w:tcBorders>
              <w:top w:val="single" w:color="000000" w:sz="4" w:space="0"/>
              <w:left w:val="single" w:color="000000" w:sz="4" w:space="0"/>
              <w:bottom w:val="single" w:color="000000" w:sz="4" w:space="0"/>
              <w:right w:val="single" w:color="000000" w:sz="4" w:space="0"/>
            </w:tcBorders>
            <w:noWrap/>
            <w:vAlign w:val="center"/>
          </w:tcPr>
          <w:p w14:paraId="67BBCA10">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115" w:type="pct"/>
            <w:tcBorders>
              <w:top w:val="single" w:color="000000" w:sz="4" w:space="0"/>
              <w:left w:val="single" w:color="000000" w:sz="4" w:space="0"/>
              <w:bottom w:val="single" w:color="000000" w:sz="4" w:space="0"/>
              <w:right w:val="single" w:color="000000" w:sz="4" w:space="0"/>
            </w:tcBorders>
            <w:noWrap/>
            <w:vAlign w:val="center"/>
          </w:tcPr>
          <w:p w14:paraId="53A6C453">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17" w:type="pct"/>
            <w:tcBorders>
              <w:top w:val="single" w:color="000000" w:sz="4" w:space="0"/>
              <w:left w:val="single" w:color="000000" w:sz="4" w:space="0"/>
              <w:bottom w:val="single" w:color="000000" w:sz="4" w:space="0"/>
              <w:right w:val="single" w:color="000000" w:sz="4" w:space="0"/>
            </w:tcBorders>
            <w:vAlign w:val="center"/>
          </w:tcPr>
          <w:p w14:paraId="688EB350">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r>
      <w:tr w14:paraId="141916DA">
        <w:tblPrEx>
          <w:tblCellMar>
            <w:top w:w="0" w:type="dxa"/>
            <w:left w:w="108" w:type="dxa"/>
            <w:bottom w:w="0" w:type="dxa"/>
            <w:right w:w="108" w:type="dxa"/>
          </w:tblCellMar>
        </w:tblPrEx>
        <w:trPr>
          <w:trHeight w:val="293" w:hRule="atLeast"/>
          <w:jc w:val="center"/>
        </w:trPr>
        <w:tc>
          <w:tcPr>
            <w:tcW w:w="1259" w:type="pct"/>
            <w:tcBorders>
              <w:top w:val="single" w:color="000000" w:sz="4" w:space="0"/>
              <w:left w:val="single" w:color="000000" w:sz="4" w:space="0"/>
              <w:bottom w:val="single" w:color="000000" w:sz="4" w:space="0"/>
              <w:right w:val="single" w:color="000000" w:sz="4" w:space="0"/>
            </w:tcBorders>
            <w:noWrap/>
            <w:vAlign w:val="center"/>
          </w:tcPr>
          <w:p w14:paraId="0A00CF3A">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城市活力不断增强</w:t>
            </w:r>
          </w:p>
        </w:tc>
        <w:tc>
          <w:tcPr>
            <w:tcW w:w="517" w:type="pct"/>
            <w:tcBorders>
              <w:top w:val="single" w:color="000000" w:sz="4" w:space="0"/>
              <w:left w:val="single" w:color="000000" w:sz="4" w:space="0"/>
              <w:bottom w:val="single" w:color="000000" w:sz="4" w:space="0"/>
              <w:right w:val="single" w:color="000000" w:sz="4" w:space="0"/>
            </w:tcBorders>
            <w:noWrap/>
            <w:vAlign w:val="center"/>
          </w:tcPr>
          <w:p w14:paraId="149BCA60">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52" w:type="pct"/>
            <w:tcBorders>
              <w:top w:val="single" w:color="000000" w:sz="4" w:space="0"/>
              <w:left w:val="single" w:color="000000" w:sz="4" w:space="0"/>
              <w:bottom w:val="single" w:color="000000" w:sz="4" w:space="0"/>
              <w:right w:val="single" w:color="000000" w:sz="4" w:space="0"/>
            </w:tcBorders>
            <w:noWrap/>
            <w:vAlign w:val="center"/>
          </w:tcPr>
          <w:p w14:paraId="44772A73">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17" w:type="pct"/>
            <w:tcBorders>
              <w:top w:val="single" w:color="000000" w:sz="4" w:space="0"/>
              <w:left w:val="single" w:color="000000" w:sz="4" w:space="0"/>
              <w:bottom w:val="single" w:color="000000" w:sz="4" w:space="0"/>
              <w:right w:val="single" w:color="000000" w:sz="4" w:space="0"/>
            </w:tcBorders>
            <w:noWrap/>
            <w:vAlign w:val="center"/>
          </w:tcPr>
          <w:p w14:paraId="00F6B04B">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18" w:type="pct"/>
            <w:tcBorders>
              <w:top w:val="single" w:color="000000" w:sz="4" w:space="0"/>
              <w:left w:val="single" w:color="000000" w:sz="4" w:space="0"/>
              <w:bottom w:val="single" w:color="000000" w:sz="4" w:space="0"/>
              <w:right w:val="single" w:color="000000" w:sz="4" w:space="0"/>
            </w:tcBorders>
            <w:noWrap/>
            <w:vAlign w:val="center"/>
          </w:tcPr>
          <w:p w14:paraId="499E7099">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115" w:type="pct"/>
            <w:tcBorders>
              <w:top w:val="single" w:color="000000" w:sz="4" w:space="0"/>
              <w:left w:val="single" w:color="000000" w:sz="4" w:space="0"/>
              <w:bottom w:val="single" w:color="000000" w:sz="4" w:space="0"/>
              <w:right w:val="single" w:color="000000" w:sz="4" w:space="0"/>
            </w:tcBorders>
            <w:noWrap/>
            <w:vAlign w:val="center"/>
          </w:tcPr>
          <w:p w14:paraId="2877D08A">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17" w:type="pct"/>
            <w:tcBorders>
              <w:top w:val="single" w:color="000000" w:sz="4" w:space="0"/>
              <w:left w:val="single" w:color="000000" w:sz="4" w:space="0"/>
              <w:bottom w:val="single" w:color="000000" w:sz="4" w:space="0"/>
              <w:right w:val="single" w:color="000000" w:sz="4" w:space="0"/>
            </w:tcBorders>
            <w:noWrap/>
            <w:vAlign w:val="center"/>
          </w:tcPr>
          <w:p w14:paraId="18684D81">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r>
      <w:tr w14:paraId="7E2B9314">
        <w:tblPrEx>
          <w:tblCellMar>
            <w:top w:w="0" w:type="dxa"/>
            <w:left w:w="108" w:type="dxa"/>
            <w:bottom w:w="0" w:type="dxa"/>
            <w:right w:w="108" w:type="dxa"/>
          </w:tblCellMar>
        </w:tblPrEx>
        <w:trPr>
          <w:trHeight w:val="301" w:hRule="atLeast"/>
          <w:jc w:val="center"/>
        </w:trPr>
        <w:tc>
          <w:tcPr>
            <w:tcW w:w="1259" w:type="pct"/>
            <w:tcBorders>
              <w:top w:val="single" w:color="000000" w:sz="4" w:space="0"/>
              <w:left w:val="single" w:color="000000" w:sz="4" w:space="0"/>
              <w:bottom w:val="single" w:color="000000" w:sz="4" w:space="0"/>
              <w:right w:val="single" w:color="000000" w:sz="4" w:space="0"/>
            </w:tcBorders>
            <w:noWrap/>
            <w:vAlign w:val="center"/>
          </w:tcPr>
          <w:p w14:paraId="27780A42">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17" w:type="pct"/>
            <w:tcBorders>
              <w:top w:val="single" w:color="000000" w:sz="4" w:space="0"/>
              <w:left w:val="single" w:color="000000" w:sz="4" w:space="0"/>
              <w:bottom w:val="single" w:color="000000" w:sz="4" w:space="0"/>
              <w:right w:val="single" w:color="000000" w:sz="4" w:space="0"/>
            </w:tcBorders>
            <w:noWrap/>
            <w:vAlign w:val="center"/>
          </w:tcPr>
          <w:p w14:paraId="5D3AE585">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52" w:type="pct"/>
            <w:tcBorders>
              <w:top w:val="single" w:color="000000" w:sz="4" w:space="0"/>
              <w:left w:val="single" w:color="000000" w:sz="4" w:space="0"/>
              <w:bottom w:val="single" w:color="000000" w:sz="4" w:space="0"/>
              <w:right w:val="single" w:color="000000" w:sz="4" w:space="0"/>
            </w:tcBorders>
            <w:noWrap/>
            <w:vAlign w:val="center"/>
          </w:tcPr>
          <w:p w14:paraId="6A04C3DA">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17" w:type="pct"/>
            <w:tcBorders>
              <w:top w:val="single" w:color="000000" w:sz="4" w:space="0"/>
              <w:left w:val="single" w:color="000000" w:sz="4" w:space="0"/>
              <w:bottom w:val="single" w:color="000000" w:sz="4" w:space="0"/>
              <w:right w:val="single" w:color="000000" w:sz="4" w:space="0"/>
            </w:tcBorders>
            <w:noWrap/>
            <w:vAlign w:val="center"/>
          </w:tcPr>
          <w:p w14:paraId="76B5D54E">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18" w:type="pct"/>
            <w:tcBorders>
              <w:top w:val="single" w:color="000000" w:sz="4" w:space="0"/>
              <w:left w:val="single" w:color="000000" w:sz="4" w:space="0"/>
              <w:bottom w:val="single" w:color="000000" w:sz="4" w:space="0"/>
              <w:right w:val="single" w:color="000000" w:sz="4" w:space="0"/>
            </w:tcBorders>
            <w:noWrap/>
            <w:vAlign w:val="center"/>
          </w:tcPr>
          <w:p w14:paraId="53AEBB12">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115" w:type="pct"/>
            <w:tcBorders>
              <w:top w:val="single" w:color="000000" w:sz="4" w:space="0"/>
              <w:left w:val="single" w:color="000000" w:sz="4" w:space="0"/>
              <w:bottom w:val="single" w:color="000000" w:sz="4" w:space="0"/>
              <w:right w:val="single" w:color="000000" w:sz="4" w:space="0"/>
            </w:tcBorders>
            <w:noWrap/>
            <w:vAlign w:val="center"/>
          </w:tcPr>
          <w:p w14:paraId="2C51DFD8">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17" w:type="pct"/>
            <w:tcBorders>
              <w:top w:val="single" w:color="000000" w:sz="4" w:space="0"/>
              <w:left w:val="single" w:color="000000" w:sz="4" w:space="0"/>
              <w:bottom w:val="single" w:color="000000" w:sz="4" w:space="0"/>
              <w:right w:val="single" w:color="000000" w:sz="4" w:space="0"/>
            </w:tcBorders>
            <w:noWrap/>
            <w:vAlign w:val="center"/>
          </w:tcPr>
          <w:p w14:paraId="4CCD9D34">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r>
    </w:tbl>
    <w:p w14:paraId="2AAC6F16">
      <w:pPr>
        <w:rPr>
          <w:rFonts w:hint="default" w:ascii="Times New Roman" w:hAnsi="Times New Roman" w:cs="Times New Roman"/>
          <w:color w:val="000000"/>
          <w:sz w:val="24"/>
          <w:szCs w:val="24"/>
        </w:rPr>
      </w:pPr>
    </w:p>
    <w:p w14:paraId="7C8506E0">
      <w:pPr>
        <w:pStyle w:val="61"/>
        <w:numPr>
          <w:ilvl w:val="0"/>
          <w:numId w:val="0"/>
        </w:numPr>
        <w:spacing w:before="0" w:beforeLines="0" w:after="0" w:afterLines="0"/>
        <w:ind w:left="420" w:hanging="420"/>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表4 城市发展短板清单</w:t>
      </w:r>
    </w:p>
    <w:tbl>
      <w:tblPr>
        <w:tblStyle w:val="28"/>
        <w:tblW w:w="8636" w:type="dxa"/>
        <w:jc w:val="center"/>
        <w:tblLayout w:type="fixed"/>
        <w:tblCellMar>
          <w:top w:w="0" w:type="dxa"/>
          <w:left w:w="108" w:type="dxa"/>
          <w:bottom w:w="0" w:type="dxa"/>
          <w:right w:w="108" w:type="dxa"/>
        </w:tblCellMar>
      </w:tblPr>
      <w:tblGrid>
        <w:gridCol w:w="1254"/>
        <w:gridCol w:w="907"/>
        <w:gridCol w:w="734"/>
        <w:gridCol w:w="718"/>
        <w:gridCol w:w="806"/>
        <w:gridCol w:w="1607"/>
        <w:gridCol w:w="698"/>
        <w:gridCol w:w="966"/>
        <w:gridCol w:w="946"/>
      </w:tblGrid>
      <w:tr w14:paraId="230C3DA7">
        <w:tblPrEx>
          <w:tblCellMar>
            <w:top w:w="0" w:type="dxa"/>
            <w:left w:w="108" w:type="dxa"/>
            <w:bottom w:w="0" w:type="dxa"/>
            <w:right w:w="108" w:type="dxa"/>
          </w:tblCellMar>
        </w:tblPrEx>
        <w:trPr>
          <w:trHeight w:val="602" w:hRule="atLeast"/>
          <w:jc w:val="center"/>
        </w:trPr>
        <w:tc>
          <w:tcPr>
            <w:tcW w:w="1254" w:type="dxa"/>
            <w:tcBorders>
              <w:top w:val="single" w:color="000000" w:sz="4" w:space="0"/>
              <w:left w:val="single" w:color="000000" w:sz="4" w:space="0"/>
              <w:bottom w:val="single" w:color="000000" w:sz="4" w:space="0"/>
              <w:right w:val="single" w:color="000000" w:sz="4" w:space="0"/>
            </w:tcBorders>
            <w:noWrap/>
            <w:vAlign w:val="center"/>
          </w:tcPr>
          <w:p w14:paraId="0E76612F">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城市发展短板</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583B0622">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短板指标</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D8C2569">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指标值</w:t>
            </w:r>
          </w:p>
        </w:tc>
        <w:tc>
          <w:tcPr>
            <w:tcW w:w="718" w:type="dxa"/>
            <w:tcBorders>
              <w:top w:val="single" w:color="000000" w:sz="4" w:space="0"/>
              <w:left w:val="single" w:color="000000" w:sz="4" w:space="0"/>
              <w:bottom w:val="single" w:color="000000" w:sz="4" w:space="0"/>
              <w:right w:val="single" w:color="000000" w:sz="4" w:space="0"/>
            </w:tcBorders>
            <w:noWrap/>
            <w:vAlign w:val="center"/>
          </w:tcPr>
          <w:p w14:paraId="62591555">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评价标准</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6FCFBDB3">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指标</w:t>
            </w:r>
          </w:p>
          <w:p w14:paraId="66D78B82">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评价</w:t>
            </w:r>
          </w:p>
        </w:tc>
        <w:tc>
          <w:tcPr>
            <w:tcW w:w="1607" w:type="dxa"/>
            <w:tcBorders>
              <w:top w:val="single" w:color="000000" w:sz="4" w:space="0"/>
              <w:left w:val="single" w:color="000000" w:sz="4" w:space="0"/>
              <w:bottom w:val="single" w:color="000000" w:sz="4" w:space="0"/>
              <w:right w:val="single" w:color="000000" w:sz="4" w:space="0"/>
            </w:tcBorders>
            <w:noWrap/>
            <w:vAlign w:val="center"/>
          </w:tcPr>
          <w:p w14:paraId="7E798D3D">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指标差距</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1DDE1C83">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问题成因</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1628F0F6">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治理措施</w:t>
            </w:r>
          </w:p>
        </w:tc>
        <w:tc>
          <w:tcPr>
            <w:tcW w:w="946" w:type="dxa"/>
            <w:tcBorders>
              <w:top w:val="single" w:color="000000" w:sz="4" w:space="0"/>
              <w:left w:val="single" w:color="000000" w:sz="4" w:space="0"/>
              <w:bottom w:val="single" w:color="000000" w:sz="4" w:space="0"/>
              <w:right w:val="single" w:color="000000" w:sz="4" w:space="0"/>
            </w:tcBorders>
            <w:noWrap/>
            <w:vAlign w:val="center"/>
          </w:tcPr>
          <w:p w14:paraId="734F205E">
            <w:pPr>
              <w:pStyle w:val="64"/>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系统治理措施</w:t>
            </w:r>
          </w:p>
        </w:tc>
      </w:tr>
      <w:tr w14:paraId="1ED6EE75">
        <w:tblPrEx>
          <w:tblCellMar>
            <w:top w:w="0" w:type="dxa"/>
            <w:left w:w="108" w:type="dxa"/>
            <w:bottom w:w="0" w:type="dxa"/>
            <w:right w:w="108" w:type="dxa"/>
          </w:tblCellMar>
        </w:tblPrEx>
        <w:trPr>
          <w:trHeight w:val="2086" w:hRule="atLeast"/>
          <w:jc w:val="center"/>
        </w:trPr>
        <w:tc>
          <w:tcPr>
            <w:tcW w:w="1254" w:type="dxa"/>
            <w:vMerge w:val="restart"/>
            <w:tcBorders>
              <w:top w:val="single" w:color="000000" w:sz="4" w:space="0"/>
              <w:left w:val="single" w:color="000000" w:sz="4" w:space="0"/>
              <w:bottom w:val="nil"/>
              <w:right w:val="single" w:color="000000" w:sz="4" w:space="0"/>
            </w:tcBorders>
            <w:vAlign w:val="center"/>
          </w:tcPr>
          <w:p w14:paraId="2E9BB1D3">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w:t>
            </w:r>
          </w:p>
          <w:p w14:paraId="287E4497">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（如：文化保护传承不足）</w:t>
            </w:r>
          </w:p>
        </w:tc>
        <w:tc>
          <w:tcPr>
            <w:tcW w:w="907" w:type="dxa"/>
            <w:tcBorders>
              <w:top w:val="single" w:color="000000" w:sz="4" w:space="0"/>
              <w:left w:val="single" w:color="000000" w:sz="4" w:space="0"/>
              <w:bottom w:val="single" w:color="000000" w:sz="4" w:space="0"/>
              <w:right w:val="single" w:color="000000" w:sz="4" w:space="0"/>
            </w:tcBorders>
            <w:vAlign w:val="center"/>
          </w:tcPr>
          <w:p w14:paraId="4095F0B8">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w:t>
            </w:r>
          </w:p>
        </w:tc>
        <w:tc>
          <w:tcPr>
            <w:tcW w:w="734" w:type="dxa"/>
            <w:tcBorders>
              <w:top w:val="single" w:color="000000" w:sz="4" w:space="0"/>
              <w:left w:val="single" w:color="000000" w:sz="4" w:space="0"/>
              <w:bottom w:val="single" w:color="000000" w:sz="4" w:space="0"/>
              <w:right w:val="single" w:color="000000" w:sz="4" w:space="0"/>
            </w:tcBorders>
            <w:vAlign w:val="center"/>
          </w:tcPr>
          <w:p w14:paraId="221F1258">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1.8 </w:t>
            </w:r>
          </w:p>
        </w:tc>
        <w:tc>
          <w:tcPr>
            <w:tcW w:w="718" w:type="dxa"/>
            <w:tcBorders>
              <w:top w:val="single" w:color="000000" w:sz="4" w:space="0"/>
              <w:left w:val="single" w:color="000000" w:sz="4" w:space="0"/>
              <w:bottom w:val="single" w:color="000000" w:sz="4" w:space="0"/>
              <w:right w:val="single" w:color="000000" w:sz="4" w:space="0"/>
            </w:tcBorders>
            <w:vAlign w:val="center"/>
          </w:tcPr>
          <w:p w14:paraId="4D2B17A2">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2.6</w:t>
            </w:r>
          </w:p>
        </w:tc>
        <w:tc>
          <w:tcPr>
            <w:tcW w:w="806" w:type="dxa"/>
            <w:tcBorders>
              <w:top w:val="single" w:color="000000" w:sz="4" w:space="0"/>
              <w:left w:val="single" w:color="000000" w:sz="4" w:space="0"/>
              <w:bottom w:val="single" w:color="000000" w:sz="4" w:space="0"/>
              <w:right w:val="single" w:color="000000" w:sz="4" w:space="0"/>
            </w:tcBorders>
            <w:vAlign w:val="center"/>
          </w:tcPr>
          <w:p w14:paraId="6FF0E010">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一般</w:t>
            </w:r>
          </w:p>
        </w:tc>
        <w:tc>
          <w:tcPr>
            <w:tcW w:w="1607" w:type="dxa"/>
            <w:tcBorders>
              <w:top w:val="single" w:color="000000" w:sz="4" w:space="0"/>
              <w:left w:val="single" w:color="000000" w:sz="4" w:space="0"/>
              <w:bottom w:val="single" w:color="000000" w:sz="4" w:space="0"/>
              <w:right w:val="single" w:color="000000" w:sz="4" w:space="0"/>
            </w:tcBorders>
            <w:vAlign w:val="center"/>
          </w:tcPr>
          <w:p w14:paraId="6552C0FB">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从对标城市及全国/全省平均水平、内部空间分布等方面说明差距情况。</w:t>
            </w:r>
          </w:p>
        </w:tc>
        <w:tc>
          <w:tcPr>
            <w:tcW w:w="698" w:type="dxa"/>
            <w:tcBorders>
              <w:top w:val="single" w:color="000000" w:sz="4" w:space="0"/>
              <w:left w:val="single" w:color="000000" w:sz="4" w:space="0"/>
              <w:bottom w:val="single" w:color="000000" w:sz="4" w:space="0"/>
              <w:right w:val="single" w:color="000000" w:sz="4" w:space="0"/>
            </w:tcBorders>
            <w:vAlign w:val="center"/>
          </w:tcPr>
          <w:p w14:paraId="6F9C6F6E">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说明差距产生原因。</w:t>
            </w:r>
          </w:p>
        </w:tc>
        <w:tc>
          <w:tcPr>
            <w:tcW w:w="966" w:type="dxa"/>
            <w:tcBorders>
              <w:top w:val="single" w:color="000000" w:sz="4" w:space="0"/>
              <w:left w:val="single" w:color="000000" w:sz="4" w:space="0"/>
              <w:bottom w:val="nil"/>
              <w:right w:val="single" w:color="000000" w:sz="4" w:space="0"/>
            </w:tcBorders>
            <w:vAlign w:val="center"/>
          </w:tcPr>
          <w:p w14:paraId="1A85EDAE">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1.XX</w:t>
            </w:r>
          </w:p>
          <w:p w14:paraId="6ADEC486">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2.XX </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sz w:val="24"/>
                <w:szCs w:val="24"/>
              </w:rPr>
              <w:t>3.……</w:t>
            </w:r>
          </w:p>
        </w:tc>
        <w:tc>
          <w:tcPr>
            <w:tcW w:w="946" w:type="dxa"/>
            <w:vMerge w:val="restart"/>
            <w:tcBorders>
              <w:top w:val="single" w:color="000000" w:sz="4" w:space="0"/>
              <w:left w:val="single" w:color="000000" w:sz="4" w:space="0"/>
              <w:bottom w:val="single" w:color="000000" w:sz="4" w:space="0"/>
              <w:right w:val="single" w:color="000000" w:sz="4" w:space="0"/>
            </w:tcBorders>
            <w:vAlign w:val="center"/>
          </w:tcPr>
          <w:p w14:paraId="2DB5A345">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w:t>
            </w:r>
          </w:p>
        </w:tc>
      </w:tr>
      <w:tr w14:paraId="22EB15EC">
        <w:tblPrEx>
          <w:tblCellMar>
            <w:top w:w="0" w:type="dxa"/>
            <w:left w:w="108" w:type="dxa"/>
            <w:bottom w:w="0" w:type="dxa"/>
            <w:right w:w="108" w:type="dxa"/>
          </w:tblCellMar>
        </w:tblPrEx>
        <w:trPr>
          <w:trHeight w:val="305" w:hRule="atLeast"/>
          <w:jc w:val="center"/>
        </w:trPr>
        <w:tc>
          <w:tcPr>
            <w:tcW w:w="1254" w:type="dxa"/>
            <w:vMerge w:val="continue"/>
            <w:tcBorders>
              <w:top w:val="single" w:color="000000" w:sz="4" w:space="0"/>
              <w:left w:val="single" w:color="000000" w:sz="4" w:space="0"/>
              <w:bottom w:val="nil"/>
              <w:right w:val="single" w:color="000000" w:sz="4" w:space="0"/>
            </w:tcBorders>
            <w:vAlign w:val="center"/>
          </w:tcPr>
          <w:p w14:paraId="271627ED">
            <w:pPr>
              <w:pStyle w:val="64"/>
              <w:jc w:val="both"/>
              <w:rPr>
                <w:rFonts w:hint="default" w:ascii="Times New Roman" w:hAnsi="Times New Roman" w:eastAsia="仿宋_GB2312" w:cs="Times New Roman"/>
                <w:sz w:val="24"/>
                <w:szCs w:val="24"/>
              </w:rPr>
            </w:pP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18DBA9C0">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5EFE2CB6">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18" w:type="dxa"/>
            <w:tcBorders>
              <w:top w:val="single" w:color="000000" w:sz="4" w:space="0"/>
              <w:left w:val="single" w:color="000000" w:sz="4" w:space="0"/>
              <w:bottom w:val="single" w:color="000000" w:sz="4" w:space="0"/>
              <w:right w:val="single" w:color="000000" w:sz="4" w:space="0"/>
            </w:tcBorders>
            <w:noWrap/>
            <w:vAlign w:val="center"/>
          </w:tcPr>
          <w:p w14:paraId="59227B3B">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4A8F43BA">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607" w:type="dxa"/>
            <w:tcBorders>
              <w:top w:val="single" w:color="000000" w:sz="4" w:space="0"/>
              <w:left w:val="single" w:color="000000" w:sz="4" w:space="0"/>
              <w:bottom w:val="single" w:color="000000" w:sz="4" w:space="0"/>
              <w:right w:val="single" w:color="000000" w:sz="4" w:space="0"/>
            </w:tcBorders>
            <w:noWrap/>
            <w:vAlign w:val="center"/>
          </w:tcPr>
          <w:p w14:paraId="2E3C4488">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06B051FF">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2CFA4B13">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946" w:type="dxa"/>
            <w:vMerge w:val="continue"/>
            <w:tcBorders>
              <w:top w:val="single" w:color="000000" w:sz="4" w:space="0"/>
              <w:left w:val="single" w:color="000000" w:sz="4" w:space="0"/>
              <w:bottom w:val="single" w:color="000000" w:sz="4" w:space="0"/>
              <w:right w:val="single" w:color="000000" w:sz="4" w:space="0"/>
            </w:tcBorders>
            <w:vAlign w:val="center"/>
          </w:tcPr>
          <w:p w14:paraId="7DE321A7">
            <w:pPr>
              <w:pStyle w:val="64"/>
              <w:jc w:val="both"/>
              <w:rPr>
                <w:rFonts w:hint="default" w:ascii="Times New Roman" w:hAnsi="Times New Roman" w:eastAsia="仿宋_GB2312" w:cs="Times New Roman"/>
                <w:sz w:val="24"/>
                <w:szCs w:val="24"/>
              </w:rPr>
            </w:pPr>
          </w:p>
        </w:tc>
      </w:tr>
      <w:tr w14:paraId="6766EC3D">
        <w:tblPrEx>
          <w:tblCellMar>
            <w:top w:w="0" w:type="dxa"/>
            <w:left w:w="108" w:type="dxa"/>
            <w:bottom w:w="0" w:type="dxa"/>
            <w:right w:w="108" w:type="dxa"/>
          </w:tblCellMar>
        </w:tblPrEx>
        <w:trPr>
          <w:trHeight w:val="314" w:hRule="atLeast"/>
          <w:jc w:val="center"/>
        </w:trPr>
        <w:tc>
          <w:tcPr>
            <w:tcW w:w="1254" w:type="dxa"/>
            <w:tcBorders>
              <w:top w:val="single" w:color="000000" w:sz="4" w:space="0"/>
              <w:left w:val="single" w:color="000000" w:sz="4" w:space="0"/>
              <w:bottom w:val="single" w:color="000000" w:sz="4" w:space="0"/>
              <w:right w:val="single" w:color="000000" w:sz="4" w:space="0"/>
            </w:tcBorders>
            <w:noWrap/>
            <w:vAlign w:val="center"/>
          </w:tcPr>
          <w:p w14:paraId="20181715">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722E27C7">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F70CE38">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18" w:type="dxa"/>
            <w:tcBorders>
              <w:top w:val="single" w:color="000000" w:sz="4" w:space="0"/>
              <w:left w:val="single" w:color="000000" w:sz="4" w:space="0"/>
              <w:bottom w:val="single" w:color="000000" w:sz="4" w:space="0"/>
              <w:right w:val="single" w:color="000000" w:sz="4" w:space="0"/>
            </w:tcBorders>
            <w:noWrap/>
            <w:vAlign w:val="center"/>
          </w:tcPr>
          <w:p w14:paraId="2D5D466B">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806" w:type="dxa"/>
            <w:tcBorders>
              <w:top w:val="single" w:color="000000" w:sz="4" w:space="0"/>
              <w:left w:val="single" w:color="000000" w:sz="4" w:space="0"/>
              <w:bottom w:val="single" w:color="000000" w:sz="4" w:space="0"/>
              <w:right w:val="single" w:color="000000" w:sz="4" w:space="0"/>
            </w:tcBorders>
            <w:noWrap/>
            <w:vAlign w:val="center"/>
          </w:tcPr>
          <w:p w14:paraId="5F1E2C54">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607" w:type="dxa"/>
            <w:tcBorders>
              <w:top w:val="single" w:color="000000" w:sz="4" w:space="0"/>
              <w:left w:val="single" w:color="000000" w:sz="4" w:space="0"/>
              <w:bottom w:val="single" w:color="000000" w:sz="4" w:space="0"/>
              <w:right w:val="single" w:color="000000" w:sz="4" w:space="0"/>
            </w:tcBorders>
            <w:noWrap/>
            <w:vAlign w:val="center"/>
          </w:tcPr>
          <w:p w14:paraId="31BE7D7C">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32E9C474">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58E5AF2F">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946" w:type="dxa"/>
            <w:tcBorders>
              <w:top w:val="single" w:color="000000" w:sz="4" w:space="0"/>
              <w:left w:val="single" w:color="000000" w:sz="4" w:space="0"/>
              <w:bottom w:val="single" w:color="000000" w:sz="4" w:space="0"/>
              <w:right w:val="single" w:color="000000" w:sz="4" w:space="0"/>
            </w:tcBorders>
            <w:noWrap/>
            <w:vAlign w:val="center"/>
          </w:tcPr>
          <w:p w14:paraId="7EA7423E">
            <w:pPr>
              <w:pStyle w:val="64"/>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r>
    </w:tbl>
    <w:p w14:paraId="7D83C0BA">
      <w:pPr>
        <w:pStyle w:val="2"/>
        <w:ind w:left="0" w:leftChars="0" w:firstLine="0" w:firstLineChars="0"/>
        <w:rPr>
          <w:rFonts w:hint="default" w:ascii="Times New Roman" w:hAnsi="Times New Roman" w:eastAsia="仿宋_GB2312" w:cs="Times New Roman"/>
        </w:rPr>
        <w:sectPr>
          <w:headerReference r:id="rId9" w:type="first"/>
          <w:footerReference r:id="rId12" w:type="first"/>
          <w:headerReference r:id="rId7" w:type="default"/>
          <w:footerReference r:id="rId10" w:type="default"/>
          <w:headerReference r:id="rId8" w:type="even"/>
          <w:footerReference r:id="rId11" w:type="even"/>
          <w:pgSz w:w="11906" w:h="16838"/>
          <w:pgMar w:top="1440" w:right="1800" w:bottom="1440" w:left="1800" w:header="0" w:footer="986" w:gutter="0"/>
          <w:cols w:space="720" w:num="1"/>
          <w:docGrid w:type="lines" w:linePitch="326" w:charSpace="0"/>
        </w:sectPr>
      </w:pPr>
      <w:r>
        <w:rPr>
          <w:rFonts w:hint="default" w:ascii="Times New Roman" w:hAnsi="Times New Roman" w:eastAsia="仿宋_GB2312" w:cs="Times New Roman"/>
          <w:color w:val="000000"/>
          <w:sz w:val="24"/>
          <w:szCs w:val="24"/>
        </w:rPr>
        <w:t>注：1.治理措施包括编制规划、出台管理办法、行动计划等；2.治理措施提出综合改善多个短板的系统性措施，不涉及系统治理措施的填“—”</w:t>
      </w:r>
    </w:p>
    <w:p w14:paraId="50202D2D">
      <w:pPr>
        <w:pStyle w:val="61"/>
        <w:numPr>
          <w:ilvl w:val="0"/>
          <w:numId w:val="0"/>
        </w:numPr>
        <w:spacing w:before="0" w:beforeLines="0" w:after="0" w:afterLines="0"/>
        <w:ind w:left="420" w:hanging="420"/>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表5 城市更新项目清单</w:t>
      </w:r>
    </w:p>
    <w:tbl>
      <w:tblPr>
        <w:tblStyle w:val="28"/>
        <w:tblW w:w="0" w:type="auto"/>
        <w:jc w:val="center"/>
        <w:tblLayout w:type="fixed"/>
        <w:tblCellMar>
          <w:top w:w="0" w:type="dxa"/>
          <w:left w:w="108" w:type="dxa"/>
          <w:bottom w:w="0" w:type="dxa"/>
          <w:right w:w="108" w:type="dxa"/>
        </w:tblCellMar>
      </w:tblPr>
      <w:tblGrid>
        <w:gridCol w:w="1184"/>
        <w:gridCol w:w="392"/>
        <w:gridCol w:w="634"/>
        <w:gridCol w:w="609"/>
        <w:gridCol w:w="746"/>
        <w:gridCol w:w="502"/>
        <w:gridCol w:w="568"/>
        <w:gridCol w:w="480"/>
        <w:gridCol w:w="744"/>
        <w:gridCol w:w="744"/>
        <w:gridCol w:w="744"/>
        <w:gridCol w:w="766"/>
        <w:gridCol w:w="569"/>
        <w:gridCol w:w="393"/>
      </w:tblGrid>
      <w:tr w14:paraId="3EC83E54">
        <w:tblPrEx>
          <w:tblCellMar>
            <w:top w:w="0" w:type="dxa"/>
            <w:left w:w="108" w:type="dxa"/>
            <w:bottom w:w="0" w:type="dxa"/>
            <w:right w:w="108" w:type="dxa"/>
          </w:tblCellMar>
        </w:tblPrEx>
        <w:trPr>
          <w:trHeight w:val="564" w:hRule="atLeast"/>
          <w:jc w:val="center"/>
        </w:trPr>
        <w:tc>
          <w:tcPr>
            <w:tcW w:w="1184" w:type="dxa"/>
            <w:tcBorders>
              <w:top w:val="single" w:color="000000" w:sz="4" w:space="0"/>
              <w:left w:val="single" w:color="000000" w:sz="4" w:space="0"/>
              <w:bottom w:val="single" w:color="000000" w:sz="4" w:space="0"/>
              <w:right w:val="single" w:color="000000" w:sz="4" w:space="0"/>
            </w:tcBorders>
            <w:noWrap/>
            <w:vAlign w:val="center"/>
          </w:tcPr>
          <w:p w14:paraId="13999D8A">
            <w:pPr>
              <w:pStyle w:val="64"/>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更新领域</w:t>
            </w:r>
          </w:p>
        </w:tc>
        <w:tc>
          <w:tcPr>
            <w:tcW w:w="392" w:type="dxa"/>
            <w:tcBorders>
              <w:top w:val="single" w:color="000000" w:sz="4" w:space="0"/>
              <w:left w:val="single" w:color="000000" w:sz="4" w:space="0"/>
              <w:bottom w:val="single" w:color="000000" w:sz="4" w:space="0"/>
              <w:right w:val="single" w:color="000000" w:sz="4" w:space="0"/>
            </w:tcBorders>
            <w:noWrap/>
            <w:vAlign w:val="center"/>
          </w:tcPr>
          <w:p w14:paraId="700589CD">
            <w:pPr>
              <w:pStyle w:val="64"/>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序号</w:t>
            </w:r>
          </w:p>
        </w:tc>
        <w:tc>
          <w:tcPr>
            <w:tcW w:w="634" w:type="dxa"/>
            <w:tcBorders>
              <w:top w:val="single" w:color="000000" w:sz="4" w:space="0"/>
              <w:left w:val="single" w:color="000000" w:sz="4" w:space="0"/>
              <w:bottom w:val="single" w:color="000000" w:sz="4" w:space="0"/>
              <w:right w:val="single" w:color="000000" w:sz="4" w:space="0"/>
            </w:tcBorders>
            <w:noWrap/>
            <w:vAlign w:val="center"/>
          </w:tcPr>
          <w:p w14:paraId="5111B18C">
            <w:pPr>
              <w:pStyle w:val="64"/>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项目名称</w:t>
            </w:r>
          </w:p>
        </w:tc>
        <w:tc>
          <w:tcPr>
            <w:tcW w:w="609" w:type="dxa"/>
            <w:tcBorders>
              <w:top w:val="single" w:color="000000" w:sz="4" w:space="0"/>
              <w:left w:val="single" w:color="000000" w:sz="4" w:space="0"/>
              <w:bottom w:val="single" w:color="000000" w:sz="4" w:space="0"/>
              <w:right w:val="single" w:color="000000" w:sz="4" w:space="0"/>
            </w:tcBorders>
            <w:noWrap/>
            <w:vAlign w:val="center"/>
          </w:tcPr>
          <w:p w14:paraId="0D56B501">
            <w:pPr>
              <w:pStyle w:val="64"/>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责任单位</w:t>
            </w:r>
          </w:p>
        </w:tc>
        <w:tc>
          <w:tcPr>
            <w:tcW w:w="746" w:type="dxa"/>
            <w:tcBorders>
              <w:top w:val="single" w:color="000000" w:sz="4" w:space="0"/>
              <w:left w:val="single" w:color="000000" w:sz="4" w:space="0"/>
              <w:bottom w:val="single" w:color="000000" w:sz="4" w:space="0"/>
              <w:right w:val="single" w:color="000000" w:sz="4" w:space="0"/>
            </w:tcBorders>
            <w:noWrap/>
            <w:vAlign w:val="center"/>
          </w:tcPr>
          <w:p w14:paraId="5E7FF85F">
            <w:pPr>
              <w:pStyle w:val="64"/>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位置</w:t>
            </w:r>
          </w:p>
        </w:tc>
        <w:tc>
          <w:tcPr>
            <w:tcW w:w="502" w:type="dxa"/>
            <w:tcBorders>
              <w:top w:val="single" w:color="000000" w:sz="4" w:space="0"/>
              <w:left w:val="single" w:color="000000" w:sz="4" w:space="0"/>
              <w:bottom w:val="single" w:color="000000" w:sz="4" w:space="0"/>
              <w:right w:val="single" w:color="000000" w:sz="4" w:space="0"/>
            </w:tcBorders>
            <w:noWrap/>
            <w:vAlign w:val="center"/>
          </w:tcPr>
          <w:p w14:paraId="492F0BD2">
            <w:pPr>
              <w:pStyle w:val="64"/>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规模</w:t>
            </w:r>
          </w:p>
        </w:tc>
        <w:tc>
          <w:tcPr>
            <w:tcW w:w="568" w:type="dxa"/>
            <w:tcBorders>
              <w:top w:val="single" w:color="000000" w:sz="4" w:space="0"/>
              <w:left w:val="single" w:color="000000" w:sz="4" w:space="0"/>
              <w:bottom w:val="single" w:color="000000" w:sz="4" w:space="0"/>
              <w:right w:val="single" w:color="000000" w:sz="4" w:space="0"/>
            </w:tcBorders>
            <w:noWrap/>
            <w:vAlign w:val="center"/>
          </w:tcPr>
          <w:p w14:paraId="7A7B4616">
            <w:pPr>
              <w:pStyle w:val="64"/>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项目内容</w:t>
            </w:r>
          </w:p>
        </w:tc>
        <w:tc>
          <w:tcPr>
            <w:tcW w:w="480" w:type="dxa"/>
            <w:tcBorders>
              <w:top w:val="single" w:color="000000" w:sz="4" w:space="0"/>
              <w:left w:val="single" w:color="000000" w:sz="4" w:space="0"/>
              <w:bottom w:val="single" w:color="000000" w:sz="4" w:space="0"/>
              <w:right w:val="single" w:color="000000" w:sz="4" w:space="0"/>
            </w:tcBorders>
            <w:noWrap/>
            <w:vAlign w:val="center"/>
          </w:tcPr>
          <w:p w14:paraId="519ABE98">
            <w:pPr>
              <w:pStyle w:val="64"/>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项目</w:t>
            </w:r>
          </w:p>
          <w:p w14:paraId="1686E115">
            <w:pPr>
              <w:pStyle w:val="64"/>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阶段</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5CB24420">
            <w:pPr>
              <w:pStyle w:val="64"/>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项目起始时间</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47638F43">
            <w:pPr>
              <w:pStyle w:val="64"/>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计划完成时间</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4F8B71DB">
            <w:pPr>
              <w:pStyle w:val="64"/>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计划投资总额</w:t>
            </w:r>
          </w:p>
        </w:tc>
        <w:tc>
          <w:tcPr>
            <w:tcW w:w="766" w:type="dxa"/>
            <w:tcBorders>
              <w:top w:val="single" w:color="000000" w:sz="4" w:space="0"/>
              <w:left w:val="single" w:color="000000" w:sz="4" w:space="0"/>
              <w:bottom w:val="single" w:color="000000" w:sz="4" w:space="0"/>
              <w:right w:val="single" w:color="000000" w:sz="4" w:space="0"/>
            </w:tcBorders>
            <w:noWrap/>
            <w:vAlign w:val="center"/>
          </w:tcPr>
          <w:p w14:paraId="5D92BF5A">
            <w:pPr>
              <w:pStyle w:val="64"/>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XX年拟投资额</w:t>
            </w:r>
          </w:p>
        </w:tc>
        <w:tc>
          <w:tcPr>
            <w:tcW w:w="569" w:type="dxa"/>
            <w:tcBorders>
              <w:top w:val="single" w:color="000000" w:sz="4" w:space="0"/>
              <w:left w:val="single" w:color="000000" w:sz="4" w:space="0"/>
              <w:bottom w:val="single" w:color="000000" w:sz="4" w:space="0"/>
              <w:right w:val="single" w:color="000000" w:sz="4" w:space="0"/>
            </w:tcBorders>
            <w:noWrap/>
            <w:vAlign w:val="center"/>
          </w:tcPr>
          <w:p w14:paraId="0A09F5A6">
            <w:pPr>
              <w:pStyle w:val="64"/>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资金来源</w:t>
            </w:r>
          </w:p>
        </w:tc>
        <w:tc>
          <w:tcPr>
            <w:tcW w:w="393" w:type="dxa"/>
            <w:tcBorders>
              <w:top w:val="single" w:color="000000" w:sz="4" w:space="0"/>
              <w:left w:val="single" w:color="000000" w:sz="4" w:space="0"/>
              <w:bottom w:val="single" w:color="000000" w:sz="4" w:space="0"/>
              <w:right w:val="single" w:color="000000" w:sz="4" w:space="0"/>
            </w:tcBorders>
            <w:noWrap/>
            <w:vAlign w:val="center"/>
          </w:tcPr>
          <w:p w14:paraId="228EACAC">
            <w:pPr>
              <w:pStyle w:val="64"/>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投资</w:t>
            </w:r>
          </w:p>
          <w:p w14:paraId="3BA9A609">
            <w:pPr>
              <w:pStyle w:val="64"/>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主体</w:t>
            </w:r>
          </w:p>
        </w:tc>
      </w:tr>
      <w:tr w14:paraId="317A457D">
        <w:tblPrEx>
          <w:tblCellMar>
            <w:top w:w="0" w:type="dxa"/>
            <w:left w:w="108" w:type="dxa"/>
            <w:bottom w:w="0" w:type="dxa"/>
            <w:right w:w="108" w:type="dxa"/>
          </w:tblCellMar>
        </w:tblPrEx>
        <w:trPr>
          <w:trHeight w:val="670" w:hRule="atLeast"/>
          <w:jc w:val="center"/>
        </w:trPr>
        <w:tc>
          <w:tcPr>
            <w:tcW w:w="1184" w:type="dxa"/>
            <w:vMerge w:val="restart"/>
            <w:tcBorders>
              <w:top w:val="single" w:color="000000" w:sz="4" w:space="0"/>
              <w:left w:val="single" w:color="000000" w:sz="4" w:space="0"/>
              <w:bottom w:val="single" w:color="000000" w:sz="4" w:space="0"/>
              <w:right w:val="single" w:color="000000" w:sz="4" w:space="0"/>
            </w:tcBorders>
            <w:noWrap/>
            <w:vAlign w:val="center"/>
          </w:tcPr>
          <w:p w14:paraId="492B5E1C">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城市生态修复和功能完善</w:t>
            </w:r>
          </w:p>
        </w:tc>
        <w:tc>
          <w:tcPr>
            <w:tcW w:w="392" w:type="dxa"/>
            <w:tcBorders>
              <w:top w:val="single" w:color="000000" w:sz="4" w:space="0"/>
              <w:left w:val="single" w:color="000000" w:sz="4" w:space="0"/>
              <w:bottom w:val="single" w:color="000000" w:sz="4" w:space="0"/>
              <w:right w:val="single" w:color="000000" w:sz="4" w:space="0"/>
            </w:tcBorders>
            <w:noWrap/>
            <w:vAlign w:val="center"/>
          </w:tcPr>
          <w:p w14:paraId="0F69F547">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634" w:type="dxa"/>
            <w:tcBorders>
              <w:top w:val="single" w:color="000000" w:sz="4" w:space="0"/>
              <w:left w:val="single" w:color="000000" w:sz="4" w:space="0"/>
              <w:bottom w:val="single" w:color="000000" w:sz="4" w:space="0"/>
              <w:right w:val="single" w:color="000000" w:sz="4" w:space="0"/>
            </w:tcBorders>
            <w:noWrap/>
            <w:vAlign w:val="center"/>
          </w:tcPr>
          <w:p w14:paraId="5E924429">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X公园项目</w:t>
            </w:r>
          </w:p>
        </w:tc>
        <w:tc>
          <w:tcPr>
            <w:tcW w:w="609" w:type="dxa"/>
            <w:tcBorders>
              <w:top w:val="single" w:color="000000" w:sz="4" w:space="0"/>
              <w:left w:val="single" w:color="000000" w:sz="4" w:space="0"/>
              <w:bottom w:val="single" w:color="000000" w:sz="4" w:space="0"/>
              <w:right w:val="single" w:color="000000" w:sz="4" w:space="0"/>
            </w:tcBorders>
            <w:noWrap/>
            <w:vAlign w:val="center"/>
          </w:tcPr>
          <w:p w14:paraId="3805B17A">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市/县XX局</w:t>
            </w:r>
          </w:p>
        </w:tc>
        <w:tc>
          <w:tcPr>
            <w:tcW w:w="746" w:type="dxa"/>
            <w:tcBorders>
              <w:top w:val="single" w:color="000000" w:sz="4" w:space="0"/>
              <w:left w:val="single" w:color="000000" w:sz="4" w:space="0"/>
              <w:bottom w:val="single" w:color="000000" w:sz="4" w:space="0"/>
              <w:right w:val="single" w:color="000000" w:sz="4" w:space="0"/>
            </w:tcBorders>
            <w:noWrap/>
            <w:vAlign w:val="center"/>
          </w:tcPr>
          <w:p w14:paraId="115442A8">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XX区XX路以西</w:t>
            </w:r>
          </w:p>
        </w:tc>
        <w:tc>
          <w:tcPr>
            <w:tcW w:w="502" w:type="dxa"/>
            <w:tcBorders>
              <w:top w:val="single" w:color="000000" w:sz="4" w:space="0"/>
              <w:left w:val="single" w:color="000000" w:sz="4" w:space="0"/>
              <w:bottom w:val="single" w:color="000000" w:sz="4" w:space="0"/>
              <w:right w:val="single" w:color="000000" w:sz="4" w:space="0"/>
            </w:tcBorders>
            <w:noWrap/>
            <w:vAlign w:val="center"/>
          </w:tcPr>
          <w:p w14:paraId="5BD657A1">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XX公顷</w:t>
            </w:r>
          </w:p>
        </w:tc>
        <w:tc>
          <w:tcPr>
            <w:tcW w:w="568" w:type="dxa"/>
            <w:tcBorders>
              <w:top w:val="single" w:color="000000" w:sz="4" w:space="0"/>
              <w:left w:val="single" w:color="000000" w:sz="4" w:space="0"/>
              <w:bottom w:val="single" w:color="000000" w:sz="4" w:space="0"/>
              <w:right w:val="single" w:color="000000" w:sz="4" w:space="0"/>
            </w:tcBorders>
            <w:vAlign w:val="center"/>
          </w:tcPr>
          <w:p w14:paraId="32A37263">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拟建设主要内容为…</w:t>
            </w:r>
          </w:p>
        </w:tc>
        <w:tc>
          <w:tcPr>
            <w:tcW w:w="480" w:type="dxa"/>
            <w:tcBorders>
              <w:top w:val="single" w:color="000000" w:sz="4" w:space="0"/>
              <w:left w:val="single" w:color="000000" w:sz="4" w:space="0"/>
              <w:bottom w:val="single" w:color="000000" w:sz="4" w:space="0"/>
              <w:right w:val="single" w:color="000000" w:sz="4" w:space="0"/>
            </w:tcBorders>
            <w:noWrap/>
            <w:vAlign w:val="center"/>
          </w:tcPr>
          <w:p w14:paraId="1B5BA914">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新开工</w:t>
            </w:r>
          </w:p>
        </w:tc>
        <w:tc>
          <w:tcPr>
            <w:tcW w:w="744" w:type="dxa"/>
            <w:tcBorders>
              <w:top w:val="single" w:color="000000" w:sz="4" w:space="0"/>
              <w:left w:val="single" w:color="000000" w:sz="4" w:space="0"/>
              <w:bottom w:val="single" w:color="000000" w:sz="4" w:space="0"/>
              <w:right w:val="single" w:color="000000" w:sz="4" w:space="0"/>
            </w:tcBorders>
            <w:vAlign w:val="center"/>
          </w:tcPr>
          <w:p w14:paraId="068ECE8D">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XX年XX月</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0E030D78">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XX年XX月</w:t>
            </w:r>
          </w:p>
        </w:tc>
        <w:tc>
          <w:tcPr>
            <w:tcW w:w="744" w:type="dxa"/>
            <w:tcBorders>
              <w:top w:val="single" w:color="000000" w:sz="4" w:space="0"/>
              <w:left w:val="single" w:color="000000" w:sz="4" w:space="0"/>
              <w:bottom w:val="single" w:color="000000" w:sz="4" w:space="0"/>
              <w:right w:val="single" w:color="000000" w:sz="4" w:space="0"/>
            </w:tcBorders>
            <w:vAlign w:val="center"/>
          </w:tcPr>
          <w:p w14:paraId="5E3AFBA2">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XX亿元</w:t>
            </w:r>
          </w:p>
        </w:tc>
        <w:tc>
          <w:tcPr>
            <w:tcW w:w="766" w:type="dxa"/>
            <w:tcBorders>
              <w:top w:val="single" w:color="000000" w:sz="4" w:space="0"/>
              <w:left w:val="single" w:color="000000" w:sz="4" w:space="0"/>
              <w:bottom w:val="single" w:color="000000" w:sz="4" w:space="0"/>
              <w:right w:val="single" w:color="000000" w:sz="4" w:space="0"/>
            </w:tcBorders>
            <w:vAlign w:val="center"/>
          </w:tcPr>
          <w:p w14:paraId="6D7EF8B6">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XX亿元</w:t>
            </w:r>
          </w:p>
        </w:tc>
        <w:tc>
          <w:tcPr>
            <w:tcW w:w="569" w:type="dxa"/>
            <w:tcBorders>
              <w:top w:val="single" w:color="000000" w:sz="4" w:space="0"/>
              <w:left w:val="single" w:color="000000" w:sz="4" w:space="0"/>
              <w:bottom w:val="single" w:color="000000" w:sz="4" w:space="0"/>
              <w:right w:val="single" w:color="000000" w:sz="4" w:space="0"/>
            </w:tcBorders>
            <w:vAlign w:val="center"/>
          </w:tcPr>
          <w:p w14:paraId="04F88698">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社会投资</w:t>
            </w:r>
          </w:p>
        </w:tc>
        <w:tc>
          <w:tcPr>
            <w:tcW w:w="393" w:type="dxa"/>
            <w:tcBorders>
              <w:top w:val="single" w:color="000000" w:sz="4" w:space="0"/>
              <w:left w:val="single" w:color="000000" w:sz="4" w:space="0"/>
              <w:bottom w:val="single" w:color="000000" w:sz="4" w:space="0"/>
              <w:right w:val="single" w:color="000000" w:sz="4" w:space="0"/>
            </w:tcBorders>
            <w:vAlign w:val="center"/>
          </w:tcPr>
          <w:p w14:paraId="208C6160">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XXX公司</w:t>
            </w:r>
          </w:p>
        </w:tc>
      </w:tr>
      <w:tr w14:paraId="19DD1C23">
        <w:tblPrEx>
          <w:tblCellMar>
            <w:top w:w="0" w:type="dxa"/>
            <w:left w:w="108" w:type="dxa"/>
            <w:bottom w:w="0" w:type="dxa"/>
            <w:right w:w="108" w:type="dxa"/>
          </w:tblCellMar>
        </w:tblPrEx>
        <w:trPr>
          <w:trHeight w:val="97" w:hRule="atLeast"/>
          <w:jc w:val="center"/>
        </w:trPr>
        <w:tc>
          <w:tcPr>
            <w:tcW w:w="1184" w:type="dxa"/>
            <w:vMerge w:val="continue"/>
            <w:tcBorders>
              <w:top w:val="single" w:color="000000" w:sz="4" w:space="0"/>
              <w:left w:val="single" w:color="000000" w:sz="4" w:space="0"/>
              <w:bottom w:val="single" w:color="000000" w:sz="4" w:space="0"/>
              <w:right w:val="single" w:color="000000" w:sz="4" w:space="0"/>
            </w:tcBorders>
            <w:noWrap/>
            <w:vAlign w:val="center"/>
          </w:tcPr>
          <w:p w14:paraId="652A4CF3">
            <w:pPr>
              <w:pStyle w:val="64"/>
              <w:spacing w:line="240" w:lineRule="auto"/>
              <w:jc w:val="both"/>
              <w:rPr>
                <w:rFonts w:hint="default" w:ascii="Times New Roman" w:hAnsi="Times New Roman" w:eastAsia="仿宋_GB2312" w:cs="Times New Roman"/>
                <w:sz w:val="24"/>
                <w:szCs w:val="24"/>
              </w:rPr>
            </w:pPr>
          </w:p>
        </w:tc>
        <w:tc>
          <w:tcPr>
            <w:tcW w:w="392" w:type="dxa"/>
            <w:tcBorders>
              <w:top w:val="single" w:color="000000" w:sz="4" w:space="0"/>
              <w:left w:val="single" w:color="000000" w:sz="4" w:space="0"/>
              <w:bottom w:val="single" w:color="000000" w:sz="4" w:space="0"/>
              <w:right w:val="single" w:color="000000" w:sz="4" w:space="0"/>
            </w:tcBorders>
            <w:noWrap/>
            <w:vAlign w:val="center"/>
          </w:tcPr>
          <w:p w14:paraId="75D04BB8">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634" w:type="dxa"/>
            <w:tcBorders>
              <w:top w:val="single" w:color="000000" w:sz="4" w:space="0"/>
              <w:left w:val="single" w:color="000000" w:sz="4" w:space="0"/>
              <w:bottom w:val="single" w:color="000000" w:sz="4" w:space="0"/>
              <w:right w:val="single" w:color="000000" w:sz="4" w:space="0"/>
            </w:tcBorders>
            <w:noWrap/>
            <w:vAlign w:val="center"/>
          </w:tcPr>
          <w:p w14:paraId="199A993B">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609" w:type="dxa"/>
            <w:tcBorders>
              <w:top w:val="single" w:color="000000" w:sz="4" w:space="0"/>
              <w:left w:val="single" w:color="000000" w:sz="4" w:space="0"/>
              <w:bottom w:val="single" w:color="000000" w:sz="4" w:space="0"/>
              <w:right w:val="single" w:color="000000" w:sz="4" w:space="0"/>
            </w:tcBorders>
            <w:noWrap/>
            <w:vAlign w:val="center"/>
          </w:tcPr>
          <w:p w14:paraId="4CEB74BD">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46" w:type="dxa"/>
            <w:tcBorders>
              <w:top w:val="single" w:color="000000" w:sz="4" w:space="0"/>
              <w:left w:val="single" w:color="000000" w:sz="4" w:space="0"/>
              <w:bottom w:val="single" w:color="000000" w:sz="4" w:space="0"/>
              <w:right w:val="single" w:color="000000" w:sz="4" w:space="0"/>
            </w:tcBorders>
            <w:noWrap/>
            <w:vAlign w:val="center"/>
          </w:tcPr>
          <w:p w14:paraId="5FCFCA04">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02" w:type="dxa"/>
            <w:tcBorders>
              <w:top w:val="single" w:color="000000" w:sz="4" w:space="0"/>
              <w:left w:val="single" w:color="000000" w:sz="4" w:space="0"/>
              <w:bottom w:val="single" w:color="000000" w:sz="4" w:space="0"/>
              <w:right w:val="single" w:color="000000" w:sz="4" w:space="0"/>
            </w:tcBorders>
            <w:noWrap/>
            <w:vAlign w:val="center"/>
          </w:tcPr>
          <w:p w14:paraId="6C1C56EB">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68" w:type="dxa"/>
            <w:tcBorders>
              <w:top w:val="single" w:color="000000" w:sz="4" w:space="0"/>
              <w:left w:val="single" w:color="000000" w:sz="4" w:space="0"/>
              <w:bottom w:val="single" w:color="000000" w:sz="4" w:space="0"/>
              <w:right w:val="single" w:color="000000" w:sz="4" w:space="0"/>
            </w:tcBorders>
            <w:noWrap/>
            <w:vAlign w:val="center"/>
          </w:tcPr>
          <w:p w14:paraId="6FD3782C">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480" w:type="dxa"/>
            <w:tcBorders>
              <w:top w:val="single" w:color="000000" w:sz="4" w:space="0"/>
              <w:left w:val="single" w:color="000000" w:sz="4" w:space="0"/>
              <w:bottom w:val="single" w:color="000000" w:sz="4" w:space="0"/>
              <w:right w:val="single" w:color="000000" w:sz="4" w:space="0"/>
            </w:tcBorders>
            <w:noWrap/>
            <w:vAlign w:val="center"/>
          </w:tcPr>
          <w:p w14:paraId="22275AD6">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21E5221D">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0F54A667">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63BA9628">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66" w:type="dxa"/>
            <w:tcBorders>
              <w:top w:val="single" w:color="000000" w:sz="4" w:space="0"/>
              <w:left w:val="single" w:color="000000" w:sz="4" w:space="0"/>
              <w:bottom w:val="single" w:color="000000" w:sz="4" w:space="0"/>
              <w:right w:val="single" w:color="000000" w:sz="4" w:space="0"/>
            </w:tcBorders>
            <w:noWrap/>
            <w:vAlign w:val="center"/>
          </w:tcPr>
          <w:p w14:paraId="52841EF6">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69" w:type="dxa"/>
            <w:tcBorders>
              <w:top w:val="single" w:color="000000" w:sz="4" w:space="0"/>
              <w:left w:val="single" w:color="000000" w:sz="4" w:space="0"/>
              <w:bottom w:val="single" w:color="000000" w:sz="4" w:space="0"/>
              <w:right w:val="single" w:color="000000" w:sz="4" w:space="0"/>
            </w:tcBorders>
            <w:noWrap/>
            <w:vAlign w:val="center"/>
          </w:tcPr>
          <w:p w14:paraId="5048244F">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393" w:type="dxa"/>
            <w:tcBorders>
              <w:top w:val="single" w:color="000000" w:sz="4" w:space="0"/>
              <w:left w:val="single" w:color="000000" w:sz="4" w:space="0"/>
              <w:bottom w:val="single" w:color="000000" w:sz="4" w:space="0"/>
              <w:right w:val="single" w:color="000000" w:sz="4" w:space="0"/>
            </w:tcBorders>
            <w:noWrap/>
            <w:vAlign w:val="center"/>
          </w:tcPr>
          <w:p w14:paraId="768449FF">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r>
      <w:tr w14:paraId="051BADF5">
        <w:tblPrEx>
          <w:tblCellMar>
            <w:top w:w="0" w:type="dxa"/>
            <w:left w:w="108" w:type="dxa"/>
            <w:bottom w:w="0" w:type="dxa"/>
            <w:right w:w="108" w:type="dxa"/>
          </w:tblCellMar>
        </w:tblPrEx>
        <w:trPr>
          <w:trHeight w:val="207" w:hRule="atLeast"/>
          <w:jc w:val="center"/>
        </w:trPr>
        <w:tc>
          <w:tcPr>
            <w:tcW w:w="1184" w:type="dxa"/>
            <w:tcBorders>
              <w:top w:val="single" w:color="000000" w:sz="4" w:space="0"/>
              <w:left w:val="single" w:color="000000" w:sz="4" w:space="0"/>
              <w:bottom w:val="single" w:color="000000" w:sz="4" w:space="0"/>
              <w:right w:val="single" w:color="000000" w:sz="4" w:space="0"/>
            </w:tcBorders>
            <w:noWrap/>
            <w:vAlign w:val="center"/>
          </w:tcPr>
          <w:p w14:paraId="657DDA08">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392" w:type="dxa"/>
            <w:tcBorders>
              <w:top w:val="single" w:color="000000" w:sz="4" w:space="0"/>
              <w:left w:val="single" w:color="000000" w:sz="4" w:space="0"/>
              <w:bottom w:val="single" w:color="000000" w:sz="4" w:space="0"/>
              <w:right w:val="single" w:color="000000" w:sz="4" w:space="0"/>
            </w:tcBorders>
            <w:noWrap/>
            <w:vAlign w:val="center"/>
          </w:tcPr>
          <w:p w14:paraId="7C244D1F">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634" w:type="dxa"/>
            <w:tcBorders>
              <w:top w:val="single" w:color="000000" w:sz="4" w:space="0"/>
              <w:left w:val="single" w:color="000000" w:sz="4" w:space="0"/>
              <w:bottom w:val="single" w:color="000000" w:sz="4" w:space="0"/>
              <w:right w:val="single" w:color="000000" w:sz="4" w:space="0"/>
            </w:tcBorders>
            <w:noWrap/>
            <w:vAlign w:val="center"/>
          </w:tcPr>
          <w:p w14:paraId="24CDB62E">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609" w:type="dxa"/>
            <w:tcBorders>
              <w:top w:val="single" w:color="000000" w:sz="4" w:space="0"/>
              <w:left w:val="single" w:color="000000" w:sz="4" w:space="0"/>
              <w:bottom w:val="single" w:color="000000" w:sz="4" w:space="0"/>
              <w:right w:val="single" w:color="000000" w:sz="4" w:space="0"/>
            </w:tcBorders>
            <w:noWrap/>
            <w:vAlign w:val="center"/>
          </w:tcPr>
          <w:p w14:paraId="60894A64">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46" w:type="dxa"/>
            <w:tcBorders>
              <w:top w:val="single" w:color="000000" w:sz="4" w:space="0"/>
              <w:left w:val="single" w:color="000000" w:sz="4" w:space="0"/>
              <w:bottom w:val="single" w:color="000000" w:sz="4" w:space="0"/>
              <w:right w:val="single" w:color="000000" w:sz="4" w:space="0"/>
            </w:tcBorders>
            <w:noWrap/>
            <w:vAlign w:val="center"/>
          </w:tcPr>
          <w:p w14:paraId="01A9BF92">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02" w:type="dxa"/>
            <w:tcBorders>
              <w:top w:val="single" w:color="000000" w:sz="4" w:space="0"/>
              <w:left w:val="single" w:color="000000" w:sz="4" w:space="0"/>
              <w:bottom w:val="single" w:color="000000" w:sz="4" w:space="0"/>
              <w:right w:val="single" w:color="000000" w:sz="4" w:space="0"/>
            </w:tcBorders>
            <w:noWrap/>
            <w:vAlign w:val="center"/>
          </w:tcPr>
          <w:p w14:paraId="035E4202">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68" w:type="dxa"/>
            <w:tcBorders>
              <w:top w:val="single" w:color="000000" w:sz="4" w:space="0"/>
              <w:left w:val="single" w:color="000000" w:sz="4" w:space="0"/>
              <w:bottom w:val="single" w:color="000000" w:sz="4" w:space="0"/>
              <w:right w:val="single" w:color="000000" w:sz="4" w:space="0"/>
            </w:tcBorders>
            <w:noWrap/>
            <w:vAlign w:val="center"/>
          </w:tcPr>
          <w:p w14:paraId="246DA70D">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480" w:type="dxa"/>
            <w:tcBorders>
              <w:top w:val="single" w:color="000000" w:sz="4" w:space="0"/>
              <w:left w:val="single" w:color="000000" w:sz="4" w:space="0"/>
              <w:bottom w:val="single" w:color="000000" w:sz="4" w:space="0"/>
              <w:right w:val="single" w:color="000000" w:sz="4" w:space="0"/>
            </w:tcBorders>
            <w:noWrap/>
            <w:vAlign w:val="center"/>
          </w:tcPr>
          <w:p w14:paraId="087DD72D">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779E4AA1">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453A164E">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46B44E4F">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66" w:type="dxa"/>
            <w:tcBorders>
              <w:top w:val="single" w:color="000000" w:sz="4" w:space="0"/>
              <w:left w:val="single" w:color="000000" w:sz="4" w:space="0"/>
              <w:bottom w:val="single" w:color="000000" w:sz="4" w:space="0"/>
              <w:right w:val="single" w:color="000000" w:sz="4" w:space="0"/>
            </w:tcBorders>
            <w:noWrap/>
            <w:vAlign w:val="center"/>
          </w:tcPr>
          <w:p w14:paraId="643828CB">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69" w:type="dxa"/>
            <w:tcBorders>
              <w:top w:val="single" w:color="000000" w:sz="4" w:space="0"/>
              <w:left w:val="single" w:color="000000" w:sz="4" w:space="0"/>
              <w:bottom w:val="single" w:color="000000" w:sz="4" w:space="0"/>
              <w:right w:val="single" w:color="000000" w:sz="4" w:space="0"/>
            </w:tcBorders>
            <w:noWrap/>
            <w:vAlign w:val="center"/>
          </w:tcPr>
          <w:p w14:paraId="2657F3E8">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393" w:type="dxa"/>
            <w:tcBorders>
              <w:top w:val="single" w:color="000000" w:sz="4" w:space="0"/>
              <w:left w:val="single" w:color="000000" w:sz="4" w:space="0"/>
              <w:bottom w:val="single" w:color="000000" w:sz="4" w:space="0"/>
              <w:right w:val="single" w:color="000000" w:sz="4" w:space="0"/>
            </w:tcBorders>
            <w:noWrap/>
            <w:vAlign w:val="center"/>
          </w:tcPr>
          <w:p w14:paraId="448DB664">
            <w:pPr>
              <w:pStyle w:val="64"/>
              <w:spacing w:line="24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r>
    </w:tbl>
    <w:p w14:paraId="1DBC66BC">
      <w:pPr>
        <w:pStyle w:val="61"/>
        <w:numPr>
          <w:ilvl w:val="0"/>
          <w:numId w:val="0"/>
        </w:numPr>
        <w:spacing w:before="0" w:beforeLines="0" w:after="0" w:afterLines="0"/>
        <w:jc w:val="both"/>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注：1.项目阶段包括新开工、续建、储备三类；2.资金来源包括政府投资、社会投资、债券投资等。</w:t>
      </w:r>
    </w:p>
    <w:p w14:paraId="23AF1156">
      <w:pPr>
        <w:pStyle w:val="61"/>
        <w:numPr>
          <w:ilvl w:val="0"/>
          <w:numId w:val="0"/>
        </w:numPr>
        <w:spacing w:before="0" w:beforeLines="0" w:after="0" w:afterLines="0"/>
        <w:jc w:val="both"/>
        <w:rPr>
          <w:rFonts w:hint="default" w:ascii="Times New Roman" w:hAnsi="Times New Roman" w:eastAsia="仿宋" w:cs="Times New Roman"/>
          <w:color w:val="000000"/>
          <w:sz w:val="24"/>
          <w:szCs w:val="24"/>
        </w:rPr>
      </w:pPr>
    </w:p>
    <w:p w14:paraId="6A5847D3">
      <w:pPr>
        <w:pStyle w:val="61"/>
        <w:numPr>
          <w:ilvl w:val="0"/>
          <w:numId w:val="0"/>
        </w:numPr>
        <w:spacing w:before="0" w:beforeLines="0" w:after="0" w:afterLines="0"/>
        <w:ind w:left="420" w:hanging="420"/>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表6 ……（其他地方根据自身情况有需要增加的表格内容）</w:t>
      </w:r>
    </w:p>
    <w:p w14:paraId="7085F602">
      <w:pPr>
        <w:spacing w:line="360" w:lineRule="auto"/>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附件一：专家技术审查会意见与落实情况</w:t>
      </w:r>
    </w:p>
    <w:p w14:paraId="0F631A28">
      <w:pPr>
        <w:pStyle w:val="61"/>
        <w:numPr>
          <w:ilvl w:val="0"/>
          <w:numId w:val="0"/>
        </w:numPr>
        <w:spacing w:before="0" w:beforeLines="0" w:after="0" w:afterLines="0"/>
        <w:ind w:left="420" w:hanging="420"/>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（根据实际情况新增相关附件内容）</w:t>
      </w:r>
    </w:p>
    <w:p w14:paraId="75EE2731">
      <w:pPr>
        <w:pStyle w:val="2"/>
        <w:rPr>
          <w:rFonts w:hint="default" w:ascii="Times New Roman" w:hAnsi="Times New Roman" w:eastAsia="仿宋_GB2312" w:cs="Times New Roman"/>
          <w:sz w:val="32"/>
          <w:szCs w:val="32"/>
        </w:rPr>
      </w:pPr>
    </w:p>
    <w:p w14:paraId="65C50B36">
      <w:pPr>
        <w:spacing w:line="360" w:lineRule="auto"/>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附图：</w:t>
      </w:r>
    </w:p>
    <w:p w14:paraId="44E1E212">
      <w:pPr>
        <w:pStyle w:val="61"/>
        <w:numPr>
          <w:ilvl w:val="0"/>
          <w:numId w:val="0"/>
        </w:numPr>
        <w:spacing w:before="0" w:beforeLines="0" w:after="0" w:afterLines="0"/>
        <w:ind w:left="420" w:hanging="420"/>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图xx ……城市体检xxx问题空间分布图</w:t>
      </w:r>
    </w:p>
    <w:p w14:paraId="169D3F11">
      <w:pPr>
        <w:pStyle w:val="61"/>
        <w:numPr>
          <w:ilvl w:val="0"/>
          <w:numId w:val="0"/>
        </w:numPr>
        <w:spacing w:before="0" w:beforeLines="0" w:after="0" w:afterLines="0"/>
        <w:ind w:left="420" w:hanging="420"/>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（根据实际情况新增相关图纸内容）</w:t>
      </w:r>
    </w:p>
    <w:p w14:paraId="41CC0813">
      <w:pPr>
        <w:widowControl/>
        <w:rPr>
          <w:rFonts w:hint="default" w:ascii="Times New Roman" w:hAnsi="Times New Roman" w:eastAsia="仿宋_GB2312" w:cs="Times New Roman"/>
          <w:b/>
          <w:bCs/>
          <w:color w:val="000000"/>
          <w:sz w:val="32"/>
          <w:szCs w:val="32"/>
        </w:rPr>
      </w:pPr>
    </w:p>
    <w:p w14:paraId="04B743BA">
      <w:pPr>
        <w:widowControl/>
        <w:jc w:val="left"/>
        <w:rPr>
          <w:rFonts w:hint="default" w:ascii="Times New Roman" w:hAnsi="Times New Roman" w:eastAsia="华文仿宋" w:cs="Times New Roman"/>
          <w:b/>
          <w:bCs/>
          <w:color w:val="000000"/>
          <w:sz w:val="32"/>
          <w:szCs w:val="44"/>
        </w:rPr>
      </w:pPr>
      <w:r>
        <w:rPr>
          <w:rFonts w:hint="default" w:ascii="Times New Roman" w:hAnsi="Times New Roman" w:cs="Times New Roman"/>
          <w:color w:val="000000"/>
          <w:sz w:val="32"/>
          <w:szCs w:val="44"/>
        </w:rPr>
        <w:br w:type="page"/>
      </w:r>
    </w:p>
    <w:p w14:paraId="77DBA452">
      <w:pPr>
        <w:pStyle w:val="4"/>
        <w:rPr>
          <w:rFonts w:hint="default" w:ascii="Times New Roman" w:hAnsi="Times New Roman" w:eastAsia="方正小标宋简体" w:cs="Times New Roman"/>
          <w:b w:val="0"/>
          <w:bCs w:val="0"/>
          <w:color w:val="000000"/>
          <w:sz w:val="32"/>
          <w:szCs w:val="32"/>
        </w:rPr>
      </w:pPr>
      <w:bookmarkStart w:id="28" w:name="_Toc1849469689"/>
      <w:r>
        <w:rPr>
          <w:rFonts w:hint="default" w:ascii="Times New Roman" w:hAnsi="Times New Roman" w:eastAsia="方正小标宋简体" w:cs="Times New Roman"/>
          <w:b w:val="0"/>
          <w:bCs w:val="0"/>
          <w:color w:val="000000"/>
          <w:sz w:val="32"/>
          <w:szCs w:val="32"/>
        </w:rPr>
        <w:t>附录G 城市第三方体检报告范本</w:t>
      </w:r>
      <w:bookmarkEnd w:id="28"/>
    </w:p>
    <w:p w14:paraId="454AE6DD">
      <w:pPr>
        <w:spacing w:line="360" w:lineRule="auto"/>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第一章 工作概述</w:t>
      </w:r>
    </w:p>
    <w:p w14:paraId="5E8F1029">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简要介绍城市第三方体检工作开展的编制目的、城市体检范围与基期、工作原则、技术方法。</w:t>
      </w:r>
    </w:p>
    <w:p w14:paraId="594DDCE2">
      <w:pPr>
        <w:spacing w:line="360" w:lineRule="auto"/>
        <w:ind w:firstLine="643" w:firstLineChars="200"/>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（一）编制目的</w:t>
      </w:r>
    </w:p>
    <w:p w14:paraId="085E9C8C">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介绍被体检城市的基本情况、发展定位与城市特色，简述城市第三方体检工作开展的背景与工作目的。</w:t>
      </w:r>
    </w:p>
    <w:p w14:paraId="055F619B">
      <w:pPr>
        <w:spacing w:line="360" w:lineRule="auto"/>
        <w:ind w:firstLine="643" w:firstLineChars="200"/>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（二）城市体检范围与基期</w:t>
      </w:r>
    </w:p>
    <w:p w14:paraId="275A575F">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以图文并茂（需配建成区边界图）的方式说明被体检城市的市辖区面积及建成区边界、市域面积、市辖区面积以及市辖区建成区面积。</w:t>
      </w:r>
    </w:p>
    <w:p w14:paraId="4FC0CFBA">
      <w:pPr>
        <w:spacing w:line="360" w:lineRule="auto"/>
        <w:ind w:firstLine="643" w:firstLineChars="200"/>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（三）工作原则</w:t>
      </w:r>
    </w:p>
    <w:p w14:paraId="3D7318D3">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简要阐述第三方体检在指标体系构建、数据收集处理、自体检校核、指标评价、问题与对策分析阶段的工作原则。</w:t>
      </w:r>
    </w:p>
    <w:p w14:paraId="6AA0C7EC">
      <w:pPr>
        <w:spacing w:line="360" w:lineRule="auto"/>
        <w:ind w:firstLine="643" w:firstLineChars="200"/>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（四）技术方法</w:t>
      </w:r>
    </w:p>
    <w:p w14:paraId="21B54571">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以流程图的形式介绍第三方体检工作的技术路径，阐述指标体系构建方法（重点说明对基础指标的调整与替换以及新增特色指标的）、指标评价标准确定方法、数据采集方法等内容，必要时可配图说明。</w:t>
      </w:r>
    </w:p>
    <w:p w14:paraId="5A8DCB0A">
      <w:pPr>
        <w:spacing w:line="360" w:lineRule="auto"/>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第二章 指标校核</w:t>
      </w:r>
    </w:p>
    <w:p w14:paraId="5F01DD3B">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对自体检指标进行校核，统计差异较大指标数量，分析差异原因，对自体检的科学准确性进行判定，具体形式可参考下表。</w:t>
      </w:r>
    </w:p>
    <w:p w14:paraId="754EB229">
      <w:pPr>
        <w:pStyle w:val="61"/>
        <w:numPr>
          <w:ilvl w:val="0"/>
          <w:numId w:val="0"/>
        </w:numPr>
        <w:spacing w:before="0" w:beforeLines="0" w:after="0" w:afterLines="0"/>
        <w:ind w:left="420" w:hanging="420"/>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表xx 自体检指标校核表</w:t>
      </w:r>
    </w:p>
    <w:tbl>
      <w:tblPr>
        <w:tblStyle w:val="28"/>
        <w:tblW w:w="5011"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552"/>
        <w:gridCol w:w="939"/>
        <w:gridCol w:w="1812"/>
        <w:gridCol w:w="1488"/>
        <w:gridCol w:w="1147"/>
        <w:gridCol w:w="2458"/>
      </w:tblGrid>
      <w:tr w14:paraId="4B1987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1" w:hRule="atLeast"/>
        </w:trPr>
        <w:tc>
          <w:tcPr>
            <w:tcW w:w="328" w:type="pct"/>
            <w:shd w:val="clear" w:color="auto" w:fill="FFFFFF"/>
            <w:tcMar>
              <w:top w:w="15" w:type="dxa"/>
              <w:left w:w="36" w:type="dxa"/>
              <w:bottom w:w="0" w:type="dxa"/>
              <w:right w:w="36" w:type="dxa"/>
            </w:tcMar>
            <w:vAlign w:val="center"/>
          </w:tcPr>
          <w:p w14:paraId="2473834F">
            <w:pPr>
              <w:pStyle w:val="64"/>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序号</w:t>
            </w:r>
          </w:p>
        </w:tc>
        <w:tc>
          <w:tcPr>
            <w:tcW w:w="460" w:type="pct"/>
            <w:shd w:val="clear" w:color="auto" w:fill="FFFFFF"/>
            <w:tcMar>
              <w:top w:w="15" w:type="dxa"/>
              <w:left w:w="36" w:type="dxa"/>
              <w:bottom w:w="0" w:type="dxa"/>
              <w:right w:w="36" w:type="dxa"/>
            </w:tcMar>
            <w:vAlign w:val="center"/>
          </w:tcPr>
          <w:p w14:paraId="04E08849">
            <w:pPr>
              <w:pStyle w:val="64"/>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指标</w:t>
            </w:r>
          </w:p>
          <w:p w14:paraId="208691ED">
            <w:pPr>
              <w:pStyle w:val="64"/>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名称</w:t>
            </w:r>
          </w:p>
        </w:tc>
        <w:tc>
          <w:tcPr>
            <w:tcW w:w="1103" w:type="pct"/>
            <w:shd w:val="clear" w:color="auto" w:fill="FFFFFF"/>
            <w:tcMar>
              <w:top w:w="15" w:type="dxa"/>
              <w:left w:w="36" w:type="dxa"/>
              <w:bottom w:w="0" w:type="dxa"/>
              <w:right w:w="36" w:type="dxa"/>
            </w:tcMar>
            <w:vAlign w:val="center"/>
          </w:tcPr>
          <w:p w14:paraId="5D50177C">
            <w:pPr>
              <w:pStyle w:val="64"/>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第三方体检指标计算结果</w:t>
            </w:r>
          </w:p>
        </w:tc>
        <w:tc>
          <w:tcPr>
            <w:tcW w:w="910" w:type="pct"/>
            <w:shd w:val="clear" w:color="auto" w:fill="FFFFFF"/>
            <w:tcMar>
              <w:top w:w="15" w:type="dxa"/>
              <w:left w:w="36" w:type="dxa"/>
              <w:bottom w:w="0" w:type="dxa"/>
              <w:right w:w="36" w:type="dxa"/>
            </w:tcMar>
            <w:vAlign w:val="center"/>
          </w:tcPr>
          <w:p w14:paraId="26431B20">
            <w:pPr>
              <w:pStyle w:val="64"/>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自体检指标计算结果</w:t>
            </w:r>
          </w:p>
        </w:tc>
        <w:tc>
          <w:tcPr>
            <w:tcW w:w="707" w:type="pct"/>
            <w:shd w:val="clear" w:color="auto" w:fill="FFFFFF"/>
            <w:tcMar>
              <w:top w:w="15" w:type="dxa"/>
              <w:left w:w="36" w:type="dxa"/>
              <w:bottom w:w="0" w:type="dxa"/>
              <w:right w:w="36" w:type="dxa"/>
            </w:tcMar>
            <w:vAlign w:val="center"/>
          </w:tcPr>
          <w:p w14:paraId="54DAF237">
            <w:pPr>
              <w:pStyle w:val="64"/>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差异程度</w:t>
            </w:r>
          </w:p>
        </w:tc>
        <w:tc>
          <w:tcPr>
            <w:tcW w:w="1487" w:type="pct"/>
            <w:shd w:val="clear" w:color="auto" w:fill="FFFFFF"/>
            <w:tcMar>
              <w:top w:w="15" w:type="dxa"/>
              <w:left w:w="36" w:type="dxa"/>
              <w:bottom w:w="0" w:type="dxa"/>
              <w:right w:w="36" w:type="dxa"/>
            </w:tcMar>
            <w:vAlign w:val="center"/>
          </w:tcPr>
          <w:p w14:paraId="2109E01C">
            <w:pPr>
              <w:pStyle w:val="64"/>
              <w:spacing w:line="240" w:lineRule="auto"/>
              <w:ind w:left="0" w:leftChars="0" w:right="0" w:rightChars="0" w:firstLine="0" w:firstLineChars="0"/>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差异原因</w:t>
            </w:r>
          </w:p>
        </w:tc>
      </w:tr>
      <w:tr w14:paraId="179967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9" w:hRule="atLeast"/>
        </w:trPr>
        <w:tc>
          <w:tcPr>
            <w:tcW w:w="328" w:type="pct"/>
            <w:shd w:val="clear" w:color="auto" w:fill="FFFFFF"/>
            <w:tcMar>
              <w:top w:w="15" w:type="dxa"/>
              <w:left w:w="36" w:type="dxa"/>
              <w:bottom w:w="0" w:type="dxa"/>
              <w:right w:w="36" w:type="dxa"/>
            </w:tcMar>
            <w:vAlign w:val="center"/>
          </w:tcPr>
          <w:p w14:paraId="0A9FDD58">
            <w:pPr>
              <w:pStyle w:val="64"/>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460" w:type="pct"/>
            <w:shd w:val="clear" w:color="auto" w:fill="FFFFFF"/>
            <w:tcMar>
              <w:top w:w="15" w:type="dxa"/>
              <w:left w:w="36" w:type="dxa"/>
              <w:bottom w:w="0" w:type="dxa"/>
              <w:right w:w="36" w:type="dxa"/>
            </w:tcMar>
            <w:vAlign w:val="center"/>
          </w:tcPr>
          <w:p w14:paraId="30ED5536">
            <w:pPr>
              <w:pStyle w:val="64"/>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XXXXX</w:t>
            </w:r>
          </w:p>
        </w:tc>
        <w:tc>
          <w:tcPr>
            <w:tcW w:w="1103" w:type="pct"/>
            <w:shd w:val="clear" w:color="auto" w:fill="FFFFFF"/>
            <w:tcMar>
              <w:top w:w="15" w:type="dxa"/>
              <w:left w:w="36" w:type="dxa"/>
              <w:bottom w:w="0" w:type="dxa"/>
              <w:right w:w="36" w:type="dxa"/>
            </w:tcMar>
            <w:vAlign w:val="center"/>
          </w:tcPr>
          <w:p w14:paraId="5D8F7074">
            <w:pPr>
              <w:pStyle w:val="64"/>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XXXX</w:t>
            </w:r>
          </w:p>
        </w:tc>
        <w:tc>
          <w:tcPr>
            <w:tcW w:w="910" w:type="pct"/>
            <w:shd w:val="clear" w:color="auto" w:fill="FFFFFF"/>
            <w:tcMar>
              <w:top w:w="15" w:type="dxa"/>
              <w:left w:w="36" w:type="dxa"/>
              <w:bottom w:w="0" w:type="dxa"/>
              <w:right w:w="36" w:type="dxa"/>
            </w:tcMar>
            <w:vAlign w:val="center"/>
          </w:tcPr>
          <w:p w14:paraId="3D74366F">
            <w:pPr>
              <w:pStyle w:val="64"/>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XXXXXX</w:t>
            </w:r>
          </w:p>
        </w:tc>
        <w:tc>
          <w:tcPr>
            <w:tcW w:w="707" w:type="pct"/>
            <w:shd w:val="clear" w:color="auto" w:fill="FFFFFF"/>
            <w:tcMar>
              <w:top w:w="15" w:type="dxa"/>
              <w:left w:w="36" w:type="dxa"/>
              <w:bottom w:w="0" w:type="dxa"/>
              <w:right w:w="36" w:type="dxa"/>
            </w:tcMar>
            <w:vAlign w:val="center"/>
          </w:tcPr>
          <w:p w14:paraId="3503E34B">
            <w:pPr>
              <w:pStyle w:val="64"/>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差距较大/差异可控/基本相同</w:t>
            </w:r>
          </w:p>
        </w:tc>
        <w:tc>
          <w:tcPr>
            <w:tcW w:w="1487" w:type="pct"/>
            <w:shd w:val="clear" w:color="auto" w:fill="FFFFFF"/>
            <w:tcMar>
              <w:top w:w="15" w:type="dxa"/>
              <w:left w:w="36" w:type="dxa"/>
              <w:bottom w:w="0" w:type="dxa"/>
              <w:right w:w="36" w:type="dxa"/>
            </w:tcMar>
            <w:vAlign w:val="center"/>
          </w:tcPr>
          <w:p w14:paraId="3F5BA523">
            <w:pPr>
              <w:pStyle w:val="64"/>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数据可获取口径/数据范围差异/数据时间差异/抽样调查误差……</w:t>
            </w:r>
          </w:p>
        </w:tc>
      </w:tr>
      <w:tr w14:paraId="649BCC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9" w:hRule="atLeast"/>
        </w:trPr>
        <w:tc>
          <w:tcPr>
            <w:tcW w:w="328" w:type="pct"/>
            <w:shd w:val="clear" w:color="auto" w:fill="FFFFFF"/>
            <w:tcMar>
              <w:top w:w="15" w:type="dxa"/>
              <w:left w:w="36" w:type="dxa"/>
              <w:bottom w:w="0" w:type="dxa"/>
              <w:right w:w="36" w:type="dxa"/>
            </w:tcMar>
            <w:vAlign w:val="center"/>
          </w:tcPr>
          <w:p w14:paraId="45F08E14">
            <w:pPr>
              <w:pStyle w:val="64"/>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p>
        </w:tc>
        <w:tc>
          <w:tcPr>
            <w:tcW w:w="460" w:type="pct"/>
            <w:shd w:val="clear" w:color="auto" w:fill="FFFFFF"/>
            <w:tcMar>
              <w:top w:w="15" w:type="dxa"/>
              <w:left w:w="36" w:type="dxa"/>
              <w:bottom w:w="0" w:type="dxa"/>
              <w:right w:w="36" w:type="dxa"/>
            </w:tcMar>
            <w:vAlign w:val="center"/>
          </w:tcPr>
          <w:p w14:paraId="3D861CA3">
            <w:pPr>
              <w:pStyle w:val="64"/>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103" w:type="pct"/>
            <w:shd w:val="clear" w:color="auto" w:fill="FFFFFF"/>
            <w:tcMar>
              <w:top w:w="15" w:type="dxa"/>
              <w:left w:w="36" w:type="dxa"/>
              <w:bottom w:w="0" w:type="dxa"/>
              <w:right w:w="36" w:type="dxa"/>
            </w:tcMar>
            <w:vAlign w:val="center"/>
          </w:tcPr>
          <w:p w14:paraId="3185AEBD">
            <w:pPr>
              <w:pStyle w:val="64"/>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910" w:type="pct"/>
            <w:shd w:val="clear" w:color="auto" w:fill="FFFFFF"/>
            <w:tcMar>
              <w:top w:w="15" w:type="dxa"/>
              <w:left w:w="36" w:type="dxa"/>
              <w:bottom w:w="0" w:type="dxa"/>
              <w:right w:w="36" w:type="dxa"/>
            </w:tcMar>
            <w:vAlign w:val="center"/>
          </w:tcPr>
          <w:p w14:paraId="17C26C71">
            <w:pPr>
              <w:pStyle w:val="64"/>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07" w:type="pct"/>
            <w:shd w:val="clear" w:color="auto" w:fill="FFFFFF"/>
            <w:tcMar>
              <w:top w:w="15" w:type="dxa"/>
              <w:left w:w="36" w:type="dxa"/>
              <w:bottom w:w="0" w:type="dxa"/>
              <w:right w:w="36" w:type="dxa"/>
            </w:tcMar>
            <w:vAlign w:val="center"/>
          </w:tcPr>
          <w:p w14:paraId="1E4419B0">
            <w:pPr>
              <w:pStyle w:val="64"/>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487" w:type="pct"/>
            <w:shd w:val="clear" w:color="auto" w:fill="FFFFFF"/>
            <w:tcMar>
              <w:top w:w="15" w:type="dxa"/>
              <w:left w:w="36" w:type="dxa"/>
              <w:bottom w:w="0" w:type="dxa"/>
              <w:right w:w="36" w:type="dxa"/>
            </w:tcMar>
            <w:vAlign w:val="center"/>
          </w:tcPr>
          <w:p w14:paraId="47F32E30">
            <w:pPr>
              <w:pStyle w:val="64"/>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r>
      <w:tr w14:paraId="3DAE68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 w:hRule="atLeast"/>
        </w:trPr>
        <w:tc>
          <w:tcPr>
            <w:tcW w:w="328" w:type="pct"/>
            <w:tcMar>
              <w:top w:w="15" w:type="dxa"/>
              <w:left w:w="36" w:type="dxa"/>
              <w:bottom w:w="0" w:type="dxa"/>
              <w:right w:w="36" w:type="dxa"/>
            </w:tcMar>
            <w:vAlign w:val="center"/>
          </w:tcPr>
          <w:p w14:paraId="7E5CD05E">
            <w:pPr>
              <w:pStyle w:val="64"/>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460" w:type="pct"/>
            <w:tcMar>
              <w:top w:w="15" w:type="dxa"/>
              <w:left w:w="36" w:type="dxa"/>
              <w:bottom w:w="0" w:type="dxa"/>
              <w:right w:w="36" w:type="dxa"/>
            </w:tcMar>
            <w:vAlign w:val="center"/>
          </w:tcPr>
          <w:p w14:paraId="5ECBB802">
            <w:pPr>
              <w:pStyle w:val="64"/>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103" w:type="pct"/>
            <w:tcMar>
              <w:top w:w="15" w:type="dxa"/>
              <w:left w:w="36" w:type="dxa"/>
              <w:bottom w:w="0" w:type="dxa"/>
              <w:right w:w="36" w:type="dxa"/>
            </w:tcMar>
            <w:vAlign w:val="center"/>
          </w:tcPr>
          <w:p w14:paraId="0DACBE66">
            <w:pPr>
              <w:pStyle w:val="64"/>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910" w:type="pct"/>
            <w:tcMar>
              <w:top w:w="15" w:type="dxa"/>
              <w:left w:w="36" w:type="dxa"/>
              <w:bottom w:w="0" w:type="dxa"/>
              <w:right w:w="36" w:type="dxa"/>
            </w:tcMar>
            <w:vAlign w:val="center"/>
          </w:tcPr>
          <w:p w14:paraId="16DDD5AD">
            <w:pPr>
              <w:pStyle w:val="64"/>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07" w:type="pct"/>
            <w:tcMar>
              <w:top w:w="15" w:type="dxa"/>
              <w:left w:w="36" w:type="dxa"/>
              <w:bottom w:w="0" w:type="dxa"/>
              <w:right w:w="36" w:type="dxa"/>
            </w:tcMar>
            <w:vAlign w:val="center"/>
          </w:tcPr>
          <w:p w14:paraId="58E2814F">
            <w:pPr>
              <w:pStyle w:val="64"/>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487" w:type="pct"/>
            <w:tcMar>
              <w:top w:w="15" w:type="dxa"/>
              <w:left w:w="36" w:type="dxa"/>
              <w:bottom w:w="0" w:type="dxa"/>
              <w:right w:w="36" w:type="dxa"/>
            </w:tcMar>
            <w:vAlign w:val="center"/>
          </w:tcPr>
          <w:p w14:paraId="3F932635">
            <w:pPr>
              <w:pStyle w:val="64"/>
              <w:spacing w:line="240"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r>
    </w:tbl>
    <w:p w14:paraId="0126E572">
      <w:pPr>
        <w:spacing w:line="360" w:lineRule="auto"/>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第三章 指标结果分析</w:t>
      </w:r>
    </w:p>
    <w:p w14:paraId="626803A8">
      <w:pPr>
        <w:spacing w:line="360" w:lineRule="auto"/>
        <w:ind w:firstLine="643" w:firstLineChars="200"/>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（一）指标结果分析</w:t>
      </w:r>
    </w:p>
    <w:p w14:paraId="199F4433">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分析计算统计指标结果，并对当年度城市体检专项以“优、良、中、差”进行分级定档评价，具体形式如下表。根据指标计算结果，计算总体达标率，分析与自体检分级定档结果的差异。</w:t>
      </w:r>
    </w:p>
    <w:p w14:paraId="79923A01">
      <w:pPr>
        <w:pStyle w:val="61"/>
        <w:numPr>
          <w:ilvl w:val="0"/>
          <w:numId w:val="0"/>
        </w:numPr>
        <w:spacing w:before="0" w:beforeLines="0" w:after="0" w:afterLines="0"/>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表xx. 评价结果表</w:t>
      </w:r>
    </w:p>
    <w:tbl>
      <w:tblPr>
        <w:tblStyle w:val="28"/>
        <w:tblW w:w="841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Layout w:type="fixed"/>
        <w:tblCellMar>
          <w:top w:w="0" w:type="dxa"/>
          <w:left w:w="0" w:type="dxa"/>
          <w:bottom w:w="0" w:type="dxa"/>
          <w:right w:w="0" w:type="dxa"/>
        </w:tblCellMar>
      </w:tblPr>
      <w:tblGrid>
        <w:gridCol w:w="817"/>
        <w:gridCol w:w="536"/>
        <w:gridCol w:w="562"/>
        <w:gridCol w:w="536"/>
        <w:gridCol w:w="536"/>
        <w:gridCol w:w="536"/>
        <w:gridCol w:w="731"/>
        <w:gridCol w:w="708"/>
        <w:gridCol w:w="709"/>
        <w:gridCol w:w="567"/>
        <w:gridCol w:w="1119"/>
        <w:gridCol w:w="1060"/>
      </w:tblGrid>
      <w:tr w14:paraId="523400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0" w:type="dxa"/>
            <w:bottom w:w="0" w:type="dxa"/>
            <w:right w:w="0" w:type="dxa"/>
          </w:tblCellMar>
        </w:tblPrEx>
        <w:trPr>
          <w:trHeight w:val="39" w:hRule="atLeast"/>
          <w:jc w:val="center"/>
        </w:trPr>
        <w:tc>
          <w:tcPr>
            <w:tcW w:w="817" w:type="dxa"/>
            <w:shd w:val="clear" w:color="auto" w:fill="FFFFFF"/>
            <w:tcMar>
              <w:top w:w="15" w:type="dxa"/>
              <w:left w:w="108" w:type="dxa"/>
              <w:bottom w:w="0" w:type="dxa"/>
              <w:right w:w="108" w:type="dxa"/>
            </w:tcMar>
            <w:vAlign w:val="center"/>
          </w:tcPr>
          <w:p w14:paraId="570E2E93">
            <w:pPr>
              <w:jc w:val="center"/>
              <w:rPr>
                <w:rStyle w:val="66"/>
                <w:rFonts w:hint="default" w:ascii="Times New Roman" w:hAnsi="Times New Roman" w:eastAsia="仿宋_GB2312" w:cs="Times New Roman"/>
                <w:b/>
                <w:bCs/>
                <w:sz w:val="24"/>
                <w:szCs w:val="24"/>
              </w:rPr>
            </w:pPr>
            <w:r>
              <w:rPr>
                <w:rStyle w:val="66"/>
                <w:rFonts w:hint="default" w:ascii="Times New Roman" w:hAnsi="Times New Roman" w:eastAsia="仿宋_GB2312" w:cs="Times New Roman"/>
                <w:b/>
                <w:bCs/>
                <w:sz w:val="24"/>
                <w:szCs w:val="24"/>
              </w:rPr>
              <w:t>类别</w:t>
            </w:r>
          </w:p>
        </w:tc>
        <w:tc>
          <w:tcPr>
            <w:tcW w:w="536" w:type="dxa"/>
            <w:shd w:val="clear" w:color="auto" w:fill="FFFFFF"/>
            <w:tcMar>
              <w:top w:w="15" w:type="dxa"/>
              <w:left w:w="108" w:type="dxa"/>
              <w:bottom w:w="0" w:type="dxa"/>
              <w:right w:w="108" w:type="dxa"/>
            </w:tcMar>
            <w:vAlign w:val="center"/>
          </w:tcPr>
          <w:p w14:paraId="0F31C67D">
            <w:pPr>
              <w:jc w:val="center"/>
              <w:rPr>
                <w:rStyle w:val="66"/>
                <w:rFonts w:hint="default" w:ascii="Times New Roman" w:hAnsi="Times New Roman" w:eastAsia="仿宋_GB2312" w:cs="Times New Roman"/>
                <w:b/>
                <w:bCs/>
                <w:sz w:val="24"/>
                <w:szCs w:val="24"/>
              </w:rPr>
            </w:pPr>
            <w:r>
              <w:rPr>
                <w:rStyle w:val="66"/>
                <w:rFonts w:hint="default" w:ascii="Times New Roman" w:hAnsi="Times New Roman" w:eastAsia="仿宋_GB2312" w:cs="Times New Roman"/>
                <w:b/>
                <w:bCs/>
                <w:sz w:val="24"/>
                <w:szCs w:val="24"/>
              </w:rPr>
              <w:t>很好</w:t>
            </w:r>
          </w:p>
        </w:tc>
        <w:tc>
          <w:tcPr>
            <w:tcW w:w="562" w:type="dxa"/>
            <w:shd w:val="clear" w:color="auto" w:fill="FFFFFF"/>
            <w:tcMar>
              <w:top w:w="15" w:type="dxa"/>
              <w:left w:w="108" w:type="dxa"/>
              <w:bottom w:w="0" w:type="dxa"/>
              <w:right w:w="108" w:type="dxa"/>
            </w:tcMar>
            <w:vAlign w:val="center"/>
          </w:tcPr>
          <w:p w14:paraId="0B2A6AE4">
            <w:pPr>
              <w:jc w:val="center"/>
              <w:rPr>
                <w:rStyle w:val="66"/>
                <w:rFonts w:hint="default" w:ascii="Times New Roman" w:hAnsi="Times New Roman" w:eastAsia="仿宋_GB2312" w:cs="Times New Roman"/>
                <w:b/>
                <w:bCs/>
                <w:sz w:val="24"/>
                <w:szCs w:val="24"/>
              </w:rPr>
            </w:pPr>
            <w:r>
              <w:rPr>
                <w:rStyle w:val="66"/>
                <w:rFonts w:hint="default" w:ascii="Times New Roman" w:hAnsi="Times New Roman" w:eastAsia="仿宋_GB2312" w:cs="Times New Roman"/>
                <w:b/>
                <w:bCs/>
                <w:sz w:val="24"/>
                <w:szCs w:val="24"/>
              </w:rPr>
              <w:t>较好</w:t>
            </w:r>
          </w:p>
        </w:tc>
        <w:tc>
          <w:tcPr>
            <w:tcW w:w="536" w:type="dxa"/>
            <w:shd w:val="clear" w:color="auto" w:fill="FFFFFF"/>
            <w:tcMar>
              <w:top w:w="15" w:type="dxa"/>
              <w:left w:w="108" w:type="dxa"/>
              <w:bottom w:w="0" w:type="dxa"/>
              <w:right w:w="108" w:type="dxa"/>
            </w:tcMar>
            <w:vAlign w:val="center"/>
          </w:tcPr>
          <w:p w14:paraId="32E6B3FC">
            <w:pPr>
              <w:jc w:val="center"/>
              <w:rPr>
                <w:rStyle w:val="66"/>
                <w:rFonts w:hint="default" w:ascii="Times New Roman" w:hAnsi="Times New Roman" w:eastAsia="仿宋_GB2312" w:cs="Times New Roman"/>
                <w:b/>
                <w:bCs/>
                <w:sz w:val="24"/>
                <w:szCs w:val="24"/>
              </w:rPr>
            </w:pPr>
            <w:r>
              <w:rPr>
                <w:rStyle w:val="66"/>
                <w:rFonts w:hint="default" w:ascii="Times New Roman" w:hAnsi="Times New Roman" w:eastAsia="仿宋_GB2312" w:cs="Times New Roman"/>
                <w:b/>
                <w:bCs/>
                <w:sz w:val="24"/>
                <w:szCs w:val="24"/>
              </w:rPr>
              <w:t>一般</w:t>
            </w:r>
          </w:p>
        </w:tc>
        <w:tc>
          <w:tcPr>
            <w:tcW w:w="536" w:type="dxa"/>
            <w:shd w:val="clear" w:color="auto" w:fill="FFFFFF"/>
            <w:tcMar>
              <w:top w:w="15" w:type="dxa"/>
              <w:left w:w="108" w:type="dxa"/>
              <w:bottom w:w="0" w:type="dxa"/>
              <w:right w:w="108" w:type="dxa"/>
            </w:tcMar>
            <w:vAlign w:val="center"/>
          </w:tcPr>
          <w:p w14:paraId="1267CFAA">
            <w:pPr>
              <w:jc w:val="center"/>
              <w:rPr>
                <w:rStyle w:val="66"/>
                <w:rFonts w:hint="default" w:ascii="Times New Roman" w:hAnsi="Times New Roman" w:eastAsia="仿宋_GB2312" w:cs="Times New Roman"/>
                <w:b/>
                <w:bCs/>
                <w:sz w:val="24"/>
                <w:szCs w:val="24"/>
              </w:rPr>
            </w:pPr>
            <w:r>
              <w:rPr>
                <w:rStyle w:val="66"/>
                <w:rFonts w:hint="default" w:ascii="Times New Roman" w:hAnsi="Times New Roman" w:eastAsia="仿宋_GB2312" w:cs="Times New Roman"/>
                <w:b/>
                <w:bCs/>
                <w:sz w:val="24"/>
                <w:szCs w:val="24"/>
              </w:rPr>
              <w:t>不足</w:t>
            </w:r>
          </w:p>
        </w:tc>
        <w:tc>
          <w:tcPr>
            <w:tcW w:w="536" w:type="dxa"/>
            <w:shd w:val="clear" w:color="auto" w:fill="FFFFFF"/>
            <w:tcMar>
              <w:top w:w="15" w:type="dxa"/>
              <w:left w:w="108" w:type="dxa"/>
              <w:bottom w:w="0" w:type="dxa"/>
              <w:right w:w="108" w:type="dxa"/>
            </w:tcMar>
            <w:vAlign w:val="center"/>
          </w:tcPr>
          <w:p w14:paraId="02ADF67F">
            <w:pPr>
              <w:jc w:val="center"/>
              <w:rPr>
                <w:rStyle w:val="66"/>
                <w:rFonts w:hint="default" w:ascii="Times New Roman" w:hAnsi="Times New Roman" w:eastAsia="仿宋_GB2312" w:cs="Times New Roman"/>
                <w:b/>
                <w:bCs/>
                <w:sz w:val="24"/>
                <w:szCs w:val="24"/>
              </w:rPr>
            </w:pPr>
            <w:r>
              <w:rPr>
                <w:rStyle w:val="66"/>
                <w:rFonts w:hint="default" w:ascii="Times New Roman" w:hAnsi="Times New Roman" w:eastAsia="仿宋_GB2312" w:cs="Times New Roman"/>
                <w:b/>
                <w:bCs/>
                <w:sz w:val="24"/>
                <w:szCs w:val="24"/>
              </w:rPr>
              <w:t>达标</w:t>
            </w:r>
          </w:p>
        </w:tc>
        <w:tc>
          <w:tcPr>
            <w:tcW w:w="731" w:type="dxa"/>
            <w:shd w:val="clear" w:color="auto" w:fill="FFFFFF"/>
            <w:tcMar>
              <w:top w:w="15" w:type="dxa"/>
              <w:left w:w="108" w:type="dxa"/>
              <w:bottom w:w="0" w:type="dxa"/>
              <w:right w:w="108" w:type="dxa"/>
            </w:tcMar>
            <w:vAlign w:val="center"/>
          </w:tcPr>
          <w:p w14:paraId="437C8A26">
            <w:pPr>
              <w:jc w:val="center"/>
              <w:rPr>
                <w:rStyle w:val="66"/>
                <w:rFonts w:hint="default" w:ascii="Times New Roman" w:hAnsi="Times New Roman" w:eastAsia="仿宋_GB2312" w:cs="Times New Roman"/>
                <w:b/>
                <w:bCs/>
                <w:sz w:val="24"/>
                <w:szCs w:val="24"/>
              </w:rPr>
            </w:pPr>
            <w:r>
              <w:rPr>
                <w:rStyle w:val="66"/>
                <w:rFonts w:hint="default" w:ascii="Times New Roman" w:hAnsi="Times New Roman" w:eastAsia="仿宋_GB2312" w:cs="Times New Roman"/>
                <w:b/>
                <w:bCs/>
                <w:sz w:val="24"/>
                <w:szCs w:val="24"/>
              </w:rPr>
              <w:t>不达标</w:t>
            </w:r>
          </w:p>
        </w:tc>
        <w:tc>
          <w:tcPr>
            <w:tcW w:w="708" w:type="dxa"/>
            <w:shd w:val="clear" w:color="auto" w:fill="FFFFFF"/>
            <w:tcMar>
              <w:top w:w="15" w:type="dxa"/>
              <w:left w:w="108" w:type="dxa"/>
              <w:bottom w:w="0" w:type="dxa"/>
              <w:right w:w="108" w:type="dxa"/>
            </w:tcMar>
            <w:vAlign w:val="center"/>
          </w:tcPr>
          <w:p w14:paraId="009E526A">
            <w:pPr>
              <w:jc w:val="center"/>
              <w:rPr>
                <w:rStyle w:val="66"/>
                <w:rFonts w:hint="default" w:ascii="Times New Roman" w:hAnsi="Times New Roman" w:eastAsia="仿宋_GB2312" w:cs="Times New Roman"/>
                <w:b/>
                <w:bCs/>
                <w:sz w:val="24"/>
                <w:szCs w:val="24"/>
              </w:rPr>
            </w:pPr>
            <w:r>
              <w:rPr>
                <w:rStyle w:val="66"/>
                <w:rFonts w:hint="default" w:ascii="Times New Roman" w:hAnsi="Times New Roman" w:eastAsia="仿宋_GB2312" w:cs="Times New Roman"/>
                <w:b/>
                <w:bCs/>
                <w:sz w:val="24"/>
                <w:szCs w:val="24"/>
              </w:rPr>
              <w:t>可评价总数</w:t>
            </w:r>
          </w:p>
        </w:tc>
        <w:tc>
          <w:tcPr>
            <w:tcW w:w="709" w:type="dxa"/>
            <w:shd w:val="clear" w:color="auto" w:fill="FFFFFF"/>
            <w:tcMar>
              <w:top w:w="15" w:type="dxa"/>
              <w:left w:w="108" w:type="dxa"/>
              <w:bottom w:w="0" w:type="dxa"/>
              <w:right w:w="108" w:type="dxa"/>
            </w:tcMar>
            <w:vAlign w:val="center"/>
          </w:tcPr>
          <w:p w14:paraId="3D4B36B3">
            <w:pPr>
              <w:jc w:val="center"/>
              <w:rPr>
                <w:rStyle w:val="66"/>
                <w:rFonts w:hint="default" w:ascii="Times New Roman" w:hAnsi="Times New Roman" w:eastAsia="仿宋_GB2312" w:cs="Times New Roman"/>
                <w:b/>
                <w:bCs/>
                <w:sz w:val="24"/>
                <w:szCs w:val="24"/>
              </w:rPr>
            </w:pPr>
            <w:r>
              <w:rPr>
                <w:rStyle w:val="66"/>
                <w:rFonts w:hint="default" w:ascii="Times New Roman" w:hAnsi="Times New Roman" w:eastAsia="仿宋_GB2312" w:cs="Times New Roman"/>
                <w:b/>
                <w:bCs/>
                <w:sz w:val="24"/>
                <w:szCs w:val="24"/>
              </w:rPr>
              <w:t>无法</w:t>
            </w:r>
          </w:p>
          <w:p w14:paraId="6C641FF4">
            <w:pPr>
              <w:jc w:val="center"/>
              <w:rPr>
                <w:rStyle w:val="66"/>
                <w:rFonts w:hint="default" w:ascii="Times New Roman" w:hAnsi="Times New Roman" w:eastAsia="仿宋_GB2312" w:cs="Times New Roman"/>
                <w:b/>
                <w:bCs/>
                <w:sz w:val="24"/>
                <w:szCs w:val="24"/>
              </w:rPr>
            </w:pPr>
            <w:r>
              <w:rPr>
                <w:rStyle w:val="66"/>
                <w:rFonts w:hint="default" w:ascii="Times New Roman" w:hAnsi="Times New Roman" w:eastAsia="仿宋_GB2312" w:cs="Times New Roman"/>
                <w:b/>
                <w:bCs/>
                <w:sz w:val="24"/>
                <w:szCs w:val="24"/>
              </w:rPr>
              <w:t>评价</w:t>
            </w:r>
          </w:p>
        </w:tc>
        <w:tc>
          <w:tcPr>
            <w:tcW w:w="567" w:type="dxa"/>
            <w:shd w:val="clear" w:color="auto" w:fill="FFFFFF"/>
            <w:tcMar>
              <w:top w:w="15" w:type="dxa"/>
              <w:left w:w="108" w:type="dxa"/>
              <w:bottom w:w="0" w:type="dxa"/>
              <w:right w:w="108" w:type="dxa"/>
            </w:tcMar>
            <w:vAlign w:val="center"/>
          </w:tcPr>
          <w:p w14:paraId="45E44055">
            <w:pPr>
              <w:jc w:val="center"/>
              <w:rPr>
                <w:rStyle w:val="66"/>
                <w:rFonts w:hint="default" w:ascii="Times New Roman" w:hAnsi="Times New Roman" w:eastAsia="仿宋_GB2312" w:cs="Times New Roman"/>
                <w:b/>
                <w:bCs/>
                <w:sz w:val="24"/>
                <w:szCs w:val="24"/>
              </w:rPr>
            </w:pPr>
            <w:r>
              <w:rPr>
                <w:rStyle w:val="66"/>
                <w:rFonts w:hint="default" w:ascii="Times New Roman" w:hAnsi="Times New Roman" w:eastAsia="仿宋_GB2312" w:cs="Times New Roman"/>
                <w:b/>
                <w:bCs/>
                <w:sz w:val="24"/>
                <w:szCs w:val="24"/>
              </w:rPr>
              <w:t>总计</w:t>
            </w:r>
          </w:p>
        </w:tc>
        <w:tc>
          <w:tcPr>
            <w:tcW w:w="1119" w:type="dxa"/>
            <w:shd w:val="clear" w:color="auto" w:fill="FFFFFF"/>
            <w:tcMar>
              <w:top w:w="15" w:type="dxa"/>
              <w:left w:w="108" w:type="dxa"/>
              <w:bottom w:w="0" w:type="dxa"/>
              <w:right w:w="108" w:type="dxa"/>
            </w:tcMar>
            <w:vAlign w:val="center"/>
          </w:tcPr>
          <w:p w14:paraId="3365FA2F">
            <w:pPr>
              <w:jc w:val="center"/>
              <w:rPr>
                <w:rStyle w:val="66"/>
                <w:rFonts w:hint="default" w:ascii="Times New Roman" w:hAnsi="Times New Roman" w:eastAsia="仿宋_GB2312" w:cs="Times New Roman"/>
                <w:b/>
                <w:bCs/>
                <w:sz w:val="24"/>
                <w:szCs w:val="24"/>
              </w:rPr>
            </w:pPr>
            <w:r>
              <w:rPr>
                <w:rStyle w:val="66"/>
                <w:rFonts w:hint="default" w:ascii="Times New Roman" w:hAnsi="Times New Roman" w:eastAsia="仿宋_GB2312" w:cs="Times New Roman"/>
                <w:b/>
                <w:bCs/>
                <w:sz w:val="24"/>
                <w:szCs w:val="24"/>
              </w:rPr>
              <w:t>分档</w:t>
            </w:r>
          </w:p>
          <w:p w14:paraId="250FD152">
            <w:pPr>
              <w:jc w:val="center"/>
              <w:rPr>
                <w:rStyle w:val="66"/>
                <w:rFonts w:hint="default" w:ascii="Times New Roman" w:hAnsi="Times New Roman" w:eastAsia="仿宋_GB2312" w:cs="Times New Roman"/>
                <w:b/>
                <w:bCs/>
                <w:sz w:val="24"/>
                <w:szCs w:val="24"/>
              </w:rPr>
            </w:pPr>
            <w:r>
              <w:rPr>
                <w:rStyle w:val="66"/>
                <w:rFonts w:hint="default" w:ascii="Times New Roman" w:hAnsi="Times New Roman" w:eastAsia="仿宋_GB2312" w:cs="Times New Roman"/>
                <w:b/>
                <w:bCs/>
                <w:sz w:val="24"/>
                <w:szCs w:val="24"/>
              </w:rPr>
              <w:t>结果</w:t>
            </w:r>
          </w:p>
        </w:tc>
        <w:tc>
          <w:tcPr>
            <w:tcW w:w="1060" w:type="dxa"/>
            <w:shd w:val="clear" w:color="auto" w:fill="FFFFFF"/>
            <w:vAlign w:val="center"/>
          </w:tcPr>
          <w:p w14:paraId="703613CA">
            <w:pPr>
              <w:jc w:val="center"/>
              <w:rPr>
                <w:rStyle w:val="66"/>
                <w:rFonts w:hint="default" w:ascii="Times New Roman" w:hAnsi="Times New Roman" w:eastAsia="仿宋_GB2312" w:cs="Times New Roman"/>
                <w:b/>
                <w:bCs/>
                <w:sz w:val="24"/>
                <w:szCs w:val="24"/>
              </w:rPr>
            </w:pPr>
            <w:r>
              <w:rPr>
                <w:rStyle w:val="66"/>
                <w:rFonts w:hint="default" w:ascii="Times New Roman" w:hAnsi="Times New Roman" w:eastAsia="仿宋_GB2312" w:cs="Times New Roman"/>
                <w:b/>
                <w:bCs/>
                <w:sz w:val="24"/>
                <w:szCs w:val="24"/>
              </w:rPr>
              <w:t>自体检</w:t>
            </w:r>
          </w:p>
          <w:p w14:paraId="45220902">
            <w:pPr>
              <w:jc w:val="center"/>
              <w:rPr>
                <w:rStyle w:val="66"/>
                <w:rFonts w:hint="default" w:ascii="Times New Roman" w:hAnsi="Times New Roman" w:eastAsia="仿宋_GB2312" w:cs="Times New Roman"/>
                <w:b/>
                <w:bCs/>
                <w:sz w:val="24"/>
                <w:szCs w:val="24"/>
              </w:rPr>
            </w:pPr>
            <w:r>
              <w:rPr>
                <w:rStyle w:val="66"/>
                <w:rFonts w:hint="default" w:ascii="Times New Roman" w:hAnsi="Times New Roman" w:eastAsia="仿宋_GB2312" w:cs="Times New Roman"/>
                <w:b/>
                <w:bCs/>
                <w:sz w:val="24"/>
                <w:szCs w:val="24"/>
              </w:rPr>
              <w:t>对比</w:t>
            </w:r>
          </w:p>
        </w:tc>
      </w:tr>
      <w:tr w14:paraId="3B0EB0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9" w:hRule="atLeast"/>
          <w:jc w:val="center"/>
        </w:trPr>
        <w:tc>
          <w:tcPr>
            <w:tcW w:w="817" w:type="dxa"/>
            <w:shd w:val="clear" w:color="auto" w:fill="FFFFFF"/>
            <w:tcMar>
              <w:top w:w="15" w:type="dxa"/>
              <w:left w:w="108" w:type="dxa"/>
              <w:bottom w:w="0" w:type="dxa"/>
              <w:right w:w="108" w:type="dxa"/>
            </w:tcMar>
          </w:tcPr>
          <w:p w14:paraId="74891ABC">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XX专项</w:t>
            </w:r>
          </w:p>
        </w:tc>
        <w:tc>
          <w:tcPr>
            <w:tcW w:w="536" w:type="dxa"/>
            <w:shd w:val="clear" w:color="auto" w:fill="FFFFFF"/>
            <w:tcMar>
              <w:top w:w="15" w:type="dxa"/>
              <w:left w:w="108" w:type="dxa"/>
              <w:bottom w:w="0" w:type="dxa"/>
              <w:right w:w="108" w:type="dxa"/>
            </w:tcMar>
          </w:tcPr>
          <w:p w14:paraId="07B9CAE6">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562" w:type="dxa"/>
            <w:shd w:val="clear" w:color="auto" w:fill="FFFFFF"/>
            <w:tcMar>
              <w:top w:w="15" w:type="dxa"/>
              <w:left w:w="108" w:type="dxa"/>
              <w:bottom w:w="0" w:type="dxa"/>
              <w:right w:w="108" w:type="dxa"/>
            </w:tcMar>
          </w:tcPr>
          <w:p w14:paraId="335154D7">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536" w:type="dxa"/>
            <w:shd w:val="clear" w:color="auto" w:fill="FFFFFF"/>
            <w:tcMar>
              <w:top w:w="15" w:type="dxa"/>
              <w:left w:w="108" w:type="dxa"/>
              <w:bottom w:w="0" w:type="dxa"/>
              <w:right w:w="108" w:type="dxa"/>
            </w:tcMar>
          </w:tcPr>
          <w:p w14:paraId="423F90FD">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536" w:type="dxa"/>
            <w:shd w:val="clear" w:color="auto" w:fill="FFFFFF"/>
            <w:tcMar>
              <w:top w:w="15" w:type="dxa"/>
              <w:left w:w="108" w:type="dxa"/>
              <w:bottom w:w="0" w:type="dxa"/>
              <w:right w:w="108" w:type="dxa"/>
            </w:tcMar>
          </w:tcPr>
          <w:p w14:paraId="5626BC26">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536" w:type="dxa"/>
            <w:shd w:val="clear" w:color="auto" w:fill="FFFFFF"/>
            <w:tcMar>
              <w:top w:w="15" w:type="dxa"/>
              <w:left w:w="108" w:type="dxa"/>
              <w:bottom w:w="0" w:type="dxa"/>
              <w:right w:w="108" w:type="dxa"/>
            </w:tcMar>
          </w:tcPr>
          <w:p w14:paraId="5872093C">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731" w:type="dxa"/>
            <w:shd w:val="clear" w:color="auto" w:fill="FFFFFF"/>
            <w:tcMar>
              <w:top w:w="15" w:type="dxa"/>
              <w:left w:w="108" w:type="dxa"/>
              <w:bottom w:w="0" w:type="dxa"/>
              <w:right w:w="108" w:type="dxa"/>
            </w:tcMar>
          </w:tcPr>
          <w:p w14:paraId="0E4E8669">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708" w:type="dxa"/>
            <w:shd w:val="clear" w:color="auto" w:fill="FFFFFF"/>
            <w:tcMar>
              <w:top w:w="15" w:type="dxa"/>
              <w:left w:w="108" w:type="dxa"/>
              <w:bottom w:w="0" w:type="dxa"/>
              <w:right w:w="108" w:type="dxa"/>
            </w:tcMar>
          </w:tcPr>
          <w:p w14:paraId="27D9E1B9">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709" w:type="dxa"/>
            <w:shd w:val="clear" w:color="auto" w:fill="FFFFFF"/>
            <w:tcMar>
              <w:top w:w="15" w:type="dxa"/>
              <w:left w:w="108" w:type="dxa"/>
              <w:bottom w:w="0" w:type="dxa"/>
              <w:right w:w="108" w:type="dxa"/>
            </w:tcMar>
          </w:tcPr>
          <w:p w14:paraId="0EF2B66F">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567" w:type="dxa"/>
            <w:shd w:val="clear" w:color="auto" w:fill="FFFFFF"/>
            <w:tcMar>
              <w:top w:w="15" w:type="dxa"/>
              <w:left w:w="108" w:type="dxa"/>
              <w:bottom w:w="0" w:type="dxa"/>
              <w:right w:w="108" w:type="dxa"/>
            </w:tcMar>
          </w:tcPr>
          <w:p w14:paraId="3399A735">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1119" w:type="dxa"/>
            <w:shd w:val="clear" w:color="auto" w:fill="FFFFFF"/>
            <w:tcMar>
              <w:top w:w="15" w:type="dxa"/>
              <w:left w:w="108" w:type="dxa"/>
              <w:bottom w:w="0" w:type="dxa"/>
              <w:right w:w="108" w:type="dxa"/>
            </w:tcMar>
          </w:tcPr>
          <w:p w14:paraId="6E45CC8D">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优/良/中/差</w:t>
            </w:r>
          </w:p>
        </w:tc>
        <w:tc>
          <w:tcPr>
            <w:tcW w:w="1060" w:type="dxa"/>
            <w:shd w:val="clear" w:color="auto" w:fill="FFFFFF"/>
          </w:tcPr>
          <w:p w14:paraId="17E36539">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优/良/中/差</w:t>
            </w:r>
          </w:p>
        </w:tc>
      </w:tr>
      <w:tr w14:paraId="250711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9" w:hRule="atLeast"/>
          <w:jc w:val="center"/>
        </w:trPr>
        <w:tc>
          <w:tcPr>
            <w:tcW w:w="817" w:type="dxa"/>
            <w:shd w:val="clear" w:color="auto" w:fill="FFFFFF"/>
            <w:tcMar>
              <w:top w:w="15" w:type="dxa"/>
              <w:left w:w="108" w:type="dxa"/>
              <w:bottom w:w="0" w:type="dxa"/>
              <w:right w:w="108" w:type="dxa"/>
            </w:tcMar>
          </w:tcPr>
          <w:p w14:paraId="1C381904">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XX专项</w:t>
            </w:r>
          </w:p>
        </w:tc>
        <w:tc>
          <w:tcPr>
            <w:tcW w:w="536" w:type="dxa"/>
            <w:shd w:val="clear" w:color="auto" w:fill="FFFFFF"/>
            <w:tcMar>
              <w:top w:w="15" w:type="dxa"/>
              <w:left w:w="108" w:type="dxa"/>
              <w:bottom w:w="0" w:type="dxa"/>
              <w:right w:w="108" w:type="dxa"/>
            </w:tcMar>
          </w:tcPr>
          <w:p w14:paraId="5FABDB61">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562" w:type="dxa"/>
            <w:shd w:val="clear" w:color="auto" w:fill="FFFFFF"/>
            <w:tcMar>
              <w:top w:w="15" w:type="dxa"/>
              <w:left w:w="108" w:type="dxa"/>
              <w:bottom w:w="0" w:type="dxa"/>
              <w:right w:w="108" w:type="dxa"/>
            </w:tcMar>
          </w:tcPr>
          <w:p w14:paraId="0CC435A2">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536" w:type="dxa"/>
            <w:shd w:val="clear" w:color="auto" w:fill="FFFFFF"/>
            <w:tcMar>
              <w:top w:w="15" w:type="dxa"/>
              <w:left w:w="108" w:type="dxa"/>
              <w:bottom w:w="0" w:type="dxa"/>
              <w:right w:w="108" w:type="dxa"/>
            </w:tcMar>
          </w:tcPr>
          <w:p w14:paraId="6554A82B">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536" w:type="dxa"/>
            <w:shd w:val="clear" w:color="auto" w:fill="FFFFFF"/>
            <w:tcMar>
              <w:top w:w="15" w:type="dxa"/>
              <w:left w:w="108" w:type="dxa"/>
              <w:bottom w:w="0" w:type="dxa"/>
              <w:right w:w="108" w:type="dxa"/>
            </w:tcMar>
          </w:tcPr>
          <w:p w14:paraId="26EEA906">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536" w:type="dxa"/>
            <w:shd w:val="clear" w:color="auto" w:fill="FFFFFF"/>
            <w:tcMar>
              <w:top w:w="15" w:type="dxa"/>
              <w:left w:w="108" w:type="dxa"/>
              <w:bottom w:w="0" w:type="dxa"/>
              <w:right w:w="108" w:type="dxa"/>
            </w:tcMar>
          </w:tcPr>
          <w:p w14:paraId="18923ED2">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731" w:type="dxa"/>
            <w:shd w:val="clear" w:color="auto" w:fill="FFFFFF"/>
            <w:tcMar>
              <w:top w:w="15" w:type="dxa"/>
              <w:left w:w="108" w:type="dxa"/>
              <w:bottom w:w="0" w:type="dxa"/>
              <w:right w:w="108" w:type="dxa"/>
            </w:tcMar>
          </w:tcPr>
          <w:p w14:paraId="3E421AAF">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708" w:type="dxa"/>
            <w:shd w:val="clear" w:color="auto" w:fill="FFFFFF"/>
            <w:tcMar>
              <w:top w:w="15" w:type="dxa"/>
              <w:left w:w="108" w:type="dxa"/>
              <w:bottom w:w="0" w:type="dxa"/>
              <w:right w:w="108" w:type="dxa"/>
            </w:tcMar>
          </w:tcPr>
          <w:p w14:paraId="4385D6A2">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709" w:type="dxa"/>
            <w:shd w:val="clear" w:color="auto" w:fill="FFFFFF"/>
            <w:tcMar>
              <w:top w:w="15" w:type="dxa"/>
              <w:left w:w="108" w:type="dxa"/>
              <w:bottom w:w="0" w:type="dxa"/>
              <w:right w:w="108" w:type="dxa"/>
            </w:tcMar>
          </w:tcPr>
          <w:p w14:paraId="33B67E6C">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567" w:type="dxa"/>
            <w:shd w:val="clear" w:color="auto" w:fill="FFFFFF"/>
            <w:tcMar>
              <w:top w:w="15" w:type="dxa"/>
              <w:left w:w="108" w:type="dxa"/>
              <w:bottom w:w="0" w:type="dxa"/>
              <w:right w:w="108" w:type="dxa"/>
            </w:tcMar>
          </w:tcPr>
          <w:p w14:paraId="0E464B4A">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1119" w:type="dxa"/>
            <w:shd w:val="clear" w:color="auto" w:fill="FFFFFF"/>
            <w:tcMar>
              <w:top w:w="15" w:type="dxa"/>
              <w:left w:w="108" w:type="dxa"/>
              <w:bottom w:w="0" w:type="dxa"/>
              <w:right w:w="108" w:type="dxa"/>
            </w:tcMar>
          </w:tcPr>
          <w:p w14:paraId="2E5282A1">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优/良/中/差</w:t>
            </w:r>
          </w:p>
        </w:tc>
        <w:tc>
          <w:tcPr>
            <w:tcW w:w="1060" w:type="dxa"/>
            <w:shd w:val="clear" w:color="auto" w:fill="FFFFFF"/>
          </w:tcPr>
          <w:p w14:paraId="0DBAE724">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优/良/中/差</w:t>
            </w:r>
          </w:p>
        </w:tc>
      </w:tr>
      <w:tr w14:paraId="0BAC12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9" w:hRule="atLeast"/>
          <w:jc w:val="center"/>
        </w:trPr>
        <w:tc>
          <w:tcPr>
            <w:tcW w:w="817" w:type="dxa"/>
            <w:shd w:val="clear" w:color="auto" w:fill="FFFFFF"/>
            <w:tcMar>
              <w:top w:w="15" w:type="dxa"/>
              <w:left w:w="108" w:type="dxa"/>
              <w:bottom w:w="0" w:type="dxa"/>
              <w:right w:w="108" w:type="dxa"/>
            </w:tcMar>
          </w:tcPr>
          <w:p w14:paraId="5A05B53A">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XX专项</w:t>
            </w:r>
          </w:p>
        </w:tc>
        <w:tc>
          <w:tcPr>
            <w:tcW w:w="536" w:type="dxa"/>
            <w:shd w:val="clear" w:color="auto" w:fill="FFFFFF"/>
            <w:tcMar>
              <w:top w:w="15" w:type="dxa"/>
              <w:left w:w="108" w:type="dxa"/>
              <w:bottom w:w="0" w:type="dxa"/>
              <w:right w:w="108" w:type="dxa"/>
            </w:tcMar>
          </w:tcPr>
          <w:p w14:paraId="63742D3A">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562" w:type="dxa"/>
            <w:shd w:val="clear" w:color="auto" w:fill="FFFFFF"/>
            <w:tcMar>
              <w:top w:w="15" w:type="dxa"/>
              <w:left w:w="108" w:type="dxa"/>
              <w:bottom w:w="0" w:type="dxa"/>
              <w:right w:w="108" w:type="dxa"/>
            </w:tcMar>
          </w:tcPr>
          <w:p w14:paraId="33807E25">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536" w:type="dxa"/>
            <w:shd w:val="clear" w:color="auto" w:fill="FFFFFF"/>
            <w:tcMar>
              <w:top w:w="15" w:type="dxa"/>
              <w:left w:w="108" w:type="dxa"/>
              <w:bottom w:w="0" w:type="dxa"/>
              <w:right w:w="108" w:type="dxa"/>
            </w:tcMar>
          </w:tcPr>
          <w:p w14:paraId="7A51246D">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536" w:type="dxa"/>
            <w:shd w:val="clear" w:color="auto" w:fill="FFFFFF"/>
            <w:tcMar>
              <w:top w:w="15" w:type="dxa"/>
              <w:left w:w="108" w:type="dxa"/>
              <w:bottom w:w="0" w:type="dxa"/>
              <w:right w:w="108" w:type="dxa"/>
            </w:tcMar>
          </w:tcPr>
          <w:p w14:paraId="4E2D94F0">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536" w:type="dxa"/>
            <w:shd w:val="clear" w:color="auto" w:fill="FFFFFF"/>
            <w:tcMar>
              <w:top w:w="15" w:type="dxa"/>
              <w:left w:w="108" w:type="dxa"/>
              <w:bottom w:w="0" w:type="dxa"/>
              <w:right w:w="108" w:type="dxa"/>
            </w:tcMar>
          </w:tcPr>
          <w:p w14:paraId="121C71B7">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731" w:type="dxa"/>
            <w:shd w:val="clear" w:color="auto" w:fill="FFFFFF"/>
            <w:tcMar>
              <w:top w:w="15" w:type="dxa"/>
              <w:left w:w="108" w:type="dxa"/>
              <w:bottom w:w="0" w:type="dxa"/>
              <w:right w:w="108" w:type="dxa"/>
            </w:tcMar>
          </w:tcPr>
          <w:p w14:paraId="6AC403C8">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708" w:type="dxa"/>
            <w:shd w:val="clear" w:color="auto" w:fill="FFFFFF"/>
            <w:tcMar>
              <w:top w:w="15" w:type="dxa"/>
              <w:left w:w="108" w:type="dxa"/>
              <w:bottom w:w="0" w:type="dxa"/>
              <w:right w:w="108" w:type="dxa"/>
            </w:tcMar>
          </w:tcPr>
          <w:p w14:paraId="27F40B24">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709" w:type="dxa"/>
            <w:shd w:val="clear" w:color="auto" w:fill="FFFFFF"/>
            <w:tcMar>
              <w:top w:w="15" w:type="dxa"/>
              <w:left w:w="108" w:type="dxa"/>
              <w:bottom w:w="0" w:type="dxa"/>
              <w:right w:w="108" w:type="dxa"/>
            </w:tcMar>
          </w:tcPr>
          <w:p w14:paraId="376F1C5A">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567" w:type="dxa"/>
            <w:shd w:val="clear" w:color="auto" w:fill="FFFFFF"/>
            <w:tcMar>
              <w:top w:w="15" w:type="dxa"/>
              <w:left w:w="108" w:type="dxa"/>
              <w:bottom w:w="0" w:type="dxa"/>
              <w:right w:w="108" w:type="dxa"/>
            </w:tcMar>
          </w:tcPr>
          <w:p w14:paraId="633B3E92">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1119" w:type="dxa"/>
            <w:shd w:val="clear" w:color="auto" w:fill="FFFFFF"/>
            <w:tcMar>
              <w:top w:w="15" w:type="dxa"/>
              <w:left w:w="108" w:type="dxa"/>
              <w:bottom w:w="0" w:type="dxa"/>
              <w:right w:w="108" w:type="dxa"/>
            </w:tcMar>
          </w:tcPr>
          <w:p w14:paraId="37E8D20C">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优/良/中/差</w:t>
            </w:r>
          </w:p>
        </w:tc>
        <w:tc>
          <w:tcPr>
            <w:tcW w:w="1060" w:type="dxa"/>
            <w:shd w:val="clear" w:color="auto" w:fill="FFFFFF"/>
          </w:tcPr>
          <w:p w14:paraId="0109EF79">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优/良/中/差</w:t>
            </w:r>
          </w:p>
        </w:tc>
      </w:tr>
      <w:tr w14:paraId="1CA8B7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9" w:hRule="atLeast"/>
          <w:jc w:val="center"/>
        </w:trPr>
        <w:tc>
          <w:tcPr>
            <w:tcW w:w="817" w:type="dxa"/>
            <w:shd w:val="clear" w:color="auto" w:fill="FFFFFF"/>
            <w:tcMar>
              <w:top w:w="15" w:type="dxa"/>
              <w:left w:w="108" w:type="dxa"/>
              <w:bottom w:w="0" w:type="dxa"/>
              <w:right w:w="108" w:type="dxa"/>
            </w:tcMar>
          </w:tcPr>
          <w:p w14:paraId="0FD4C9F7">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536" w:type="dxa"/>
            <w:shd w:val="clear" w:color="auto" w:fill="FFFFFF"/>
            <w:tcMar>
              <w:top w:w="15" w:type="dxa"/>
              <w:left w:w="108" w:type="dxa"/>
              <w:bottom w:w="0" w:type="dxa"/>
              <w:right w:w="108" w:type="dxa"/>
            </w:tcMar>
          </w:tcPr>
          <w:p w14:paraId="2C94D86B">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562" w:type="dxa"/>
            <w:shd w:val="clear" w:color="auto" w:fill="FFFFFF"/>
            <w:tcMar>
              <w:top w:w="15" w:type="dxa"/>
              <w:left w:w="108" w:type="dxa"/>
              <w:bottom w:w="0" w:type="dxa"/>
              <w:right w:w="108" w:type="dxa"/>
            </w:tcMar>
          </w:tcPr>
          <w:p w14:paraId="38475997">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536" w:type="dxa"/>
            <w:shd w:val="clear" w:color="auto" w:fill="FFFFFF"/>
            <w:tcMar>
              <w:top w:w="15" w:type="dxa"/>
              <w:left w:w="108" w:type="dxa"/>
              <w:bottom w:w="0" w:type="dxa"/>
              <w:right w:w="108" w:type="dxa"/>
            </w:tcMar>
          </w:tcPr>
          <w:p w14:paraId="2D670429">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536" w:type="dxa"/>
            <w:shd w:val="clear" w:color="auto" w:fill="FFFFFF"/>
            <w:tcMar>
              <w:top w:w="15" w:type="dxa"/>
              <w:left w:w="108" w:type="dxa"/>
              <w:bottom w:w="0" w:type="dxa"/>
              <w:right w:w="108" w:type="dxa"/>
            </w:tcMar>
          </w:tcPr>
          <w:p w14:paraId="46BA712E">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536" w:type="dxa"/>
            <w:shd w:val="clear" w:color="auto" w:fill="FFFFFF"/>
            <w:tcMar>
              <w:top w:w="15" w:type="dxa"/>
              <w:left w:w="108" w:type="dxa"/>
              <w:bottom w:w="0" w:type="dxa"/>
              <w:right w:w="108" w:type="dxa"/>
            </w:tcMar>
          </w:tcPr>
          <w:p w14:paraId="6FD9E215">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731" w:type="dxa"/>
            <w:shd w:val="clear" w:color="auto" w:fill="FFFFFF"/>
            <w:tcMar>
              <w:top w:w="15" w:type="dxa"/>
              <w:left w:w="108" w:type="dxa"/>
              <w:bottom w:w="0" w:type="dxa"/>
              <w:right w:w="108" w:type="dxa"/>
            </w:tcMar>
          </w:tcPr>
          <w:p w14:paraId="25568CF2">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708" w:type="dxa"/>
            <w:shd w:val="clear" w:color="auto" w:fill="FFFFFF"/>
            <w:tcMar>
              <w:top w:w="15" w:type="dxa"/>
              <w:left w:w="108" w:type="dxa"/>
              <w:bottom w:w="0" w:type="dxa"/>
              <w:right w:w="108" w:type="dxa"/>
            </w:tcMar>
          </w:tcPr>
          <w:p w14:paraId="4D38D8B9">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709" w:type="dxa"/>
            <w:shd w:val="clear" w:color="auto" w:fill="FFFFFF"/>
            <w:tcMar>
              <w:top w:w="15" w:type="dxa"/>
              <w:left w:w="108" w:type="dxa"/>
              <w:bottom w:w="0" w:type="dxa"/>
              <w:right w:w="108" w:type="dxa"/>
            </w:tcMar>
          </w:tcPr>
          <w:p w14:paraId="07B26B46">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567" w:type="dxa"/>
            <w:shd w:val="clear" w:color="auto" w:fill="FFFFFF"/>
            <w:tcMar>
              <w:top w:w="15" w:type="dxa"/>
              <w:left w:w="108" w:type="dxa"/>
              <w:bottom w:w="0" w:type="dxa"/>
              <w:right w:w="108" w:type="dxa"/>
            </w:tcMar>
          </w:tcPr>
          <w:p w14:paraId="76693BB0">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1119" w:type="dxa"/>
            <w:shd w:val="clear" w:color="auto" w:fill="FFFFFF"/>
            <w:tcMar>
              <w:top w:w="15" w:type="dxa"/>
              <w:left w:w="108" w:type="dxa"/>
              <w:bottom w:w="0" w:type="dxa"/>
              <w:right w:w="108" w:type="dxa"/>
            </w:tcMar>
          </w:tcPr>
          <w:p w14:paraId="30C4A0BD">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c>
          <w:tcPr>
            <w:tcW w:w="1060" w:type="dxa"/>
            <w:shd w:val="clear" w:color="auto" w:fill="FFFFFF"/>
          </w:tcPr>
          <w:p w14:paraId="70320212">
            <w:pPr>
              <w:jc w:val="center"/>
              <w:rPr>
                <w:rStyle w:val="66"/>
                <w:rFonts w:hint="default" w:ascii="Times New Roman" w:hAnsi="Times New Roman" w:eastAsia="仿宋_GB2312" w:cs="Times New Roman"/>
                <w:sz w:val="24"/>
                <w:szCs w:val="24"/>
              </w:rPr>
            </w:pPr>
            <w:r>
              <w:rPr>
                <w:rStyle w:val="66"/>
                <w:rFonts w:hint="default" w:ascii="Times New Roman" w:hAnsi="Times New Roman" w:eastAsia="仿宋_GB2312" w:cs="Times New Roman"/>
                <w:sz w:val="24"/>
                <w:szCs w:val="24"/>
              </w:rPr>
              <w:t>…</w:t>
            </w:r>
          </w:p>
        </w:tc>
      </w:tr>
    </w:tbl>
    <w:p w14:paraId="783455CC">
      <w:pPr>
        <w:rPr>
          <w:rFonts w:hint="default" w:ascii="Times New Roman" w:hAnsi="Times New Roman" w:eastAsia="仿宋" w:cs="Times New Roman"/>
          <w:color w:val="000000"/>
          <w:sz w:val="28"/>
        </w:rPr>
      </w:pPr>
    </w:p>
    <w:p w14:paraId="644F029B">
      <w:pPr>
        <w:spacing w:line="360" w:lineRule="auto"/>
        <w:ind w:firstLine="643" w:firstLineChars="200"/>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（二）全省横向对比分析</w:t>
      </w:r>
    </w:p>
    <w:p w14:paraId="0ED20600">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以柱状图的方式分析被体检城市指标与九市一区横向对比的结果，图中需标明全省平均值与标准值。分析各专项内上游指标数量、中游指标数量和下游指标数量，形式如下表。</w:t>
      </w:r>
    </w:p>
    <w:p w14:paraId="4B8967CC">
      <w:pPr>
        <w:pStyle w:val="61"/>
        <w:numPr>
          <w:ilvl w:val="0"/>
          <w:numId w:val="0"/>
        </w:numPr>
        <w:spacing w:before="0" w:beforeLines="0" w:after="0" w:afterLines="0"/>
        <w:ind w:left="420" w:hanging="420"/>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图xx XX指标九市一区横向对比</w:t>
      </w:r>
    </w:p>
    <w:p w14:paraId="02261C1C">
      <w:pPr>
        <w:widowControl/>
        <w:jc w:val="center"/>
        <w:rPr>
          <w:rFonts w:hint="default" w:ascii="Times New Roman" w:hAnsi="Times New Roman" w:eastAsia="仿宋" w:cs="Times New Roman"/>
          <w:b/>
          <w:color w:val="000000"/>
          <w:sz w:val="28"/>
          <w:szCs w:val="28"/>
        </w:rPr>
      </w:pPr>
      <w:r>
        <w:rPr>
          <w:rFonts w:hint="default" w:ascii="Times New Roman" w:hAnsi="Times New Roman" w:eastAsia="仿宋" w:cs="Times New Roman"/>
          <w:color w:val="000000"/>
        </w:rPr>
        <w:drawing>
          <wp:inline distT="0" distB="0" distL="0" distR="0">
            <wp:extent cx="4324350" cy="2171700"/>
            <wp:effectExtent l="0" t="0" r="0" b="0"/>
            <wp:docPr id="83" name="图片 294591545"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94591545" descr="图表, 条形图&#10;&#10;描述已自动生成"/>
                    <pic:cNvPicPr>
                      <a:picLocks noChangeAspect="1" noChangeArrowheads="1"/>
                    </pic:cNvPicPr>
                  </pic:nvPicPr>
                  <pic:blipFill>
                    <a:blip r:embed="rId68">
                      <a:extLst>
                        <a:ext uri="{28A0092B-C50C-407E-A947-70E740481C1C}">
                          <a14:useLocalDpi xmlns:a14="http://schemas.microsoft.com/office/drawing/2010/main" val="0"/>
                        </a:ext>
                      </a:extLst>
                    </a:blip>
                    <a:srcRect l="1596" t="17863" r="1997" b="1494"/>
                    <a:stretch>
                      <a:fillRect/>
                    </a:stretch>
                  </pic:blipFill>
                  <pic:spPr>
                    <a:xfrm>
                      <a:off x="0" y="0"/>
                      <a:ext cx="4324350" cy="2171700"/>
                    </a:xfrm>
                    <a:prstGeom prst="rect">
                      <a:avLst/>
                    </a:prstGeom>
                    <a:noFill/>
                    <a:ln>
                      <a:noFill/>
                    </a:ln>
                  </pic:spPr>
                </pic:pic>
              </a:graphicData>
            </a:graphic>
          </wp:inline>
        </w:drawing>
      </w:r>
    </w:p>
    <w:p w14:paraId="2D2E87EF">
      <w:pPr>
        <w:pStyle w:val="61"/>
        <w:numPr>
          <w:ilvl w:val="0"/>
          <w:numId w:val="0"/>
        </w:numPr>
        <w:spacing w:before="0" w:beforeLines="0" w:after="0" w:afterLines="0"/>
        <w:ind w:left="420" w:hanging="420"/>
        <w:rPr>
          <w:rFonts w:hint="default" w:ascii="Times New Roman" w:hAnsi="Times New Roman" w:eastAsia="仿宋_GB2312" w:cs="Times New Roman"/>
          <w:b/>
          <w:bCs/>
          <w:color w:val="000000"/>
          <w:sz w:val="32"/>
          <w:szCs w:val="32"/>
        </w:rPr>
      </w:pPr>
    </w:p>
    <w:p w14:paraId="500DFD00">
      <w:pPr>
        <w:pStyle w:val="61"/>
        <w:numPr>
          <w:ilvl w:val="0"/>
          <w:numId w:val="0"/>
        </w:numPr>
        <w:spacing w:before="0" w:beforeLines="0" w:after="0" w:afterLines="0"/>
        <w:ind w:left="420" w:hanging="420"/>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表xx “九市一区”指标结果对比</w:t>
      </w:r>
    </w:p>
    <w:tbl>
      <w:tblPr>
        <w:tblStyle w:val="29"/>
        <w:tblW w:w="38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1281"/>
        <w:gridCol w:w="1210"/>
        <w:gridCol w:w="1239"/>
        <w:gridCol w:w="992"/>
        <w:gridCol w:w="981"/>
      </w:tblGrid>
      <w:tr w14:paraId="5B761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pct"/>
            <w:vAlign w:val="center"/>
          </w:tcPr>
          <w:p w14:paraId="4EE77D6C">
            <w:pPr>
              <w:pStyle w:val="64"/>
              <w:ind w:left="0" w:leftChars="0" w:right="0" w:rightChars="0" w:firstLine="0" w:firstLineChars="0"/>
              <w:jc w:val="center"/>
              <w:rPr>
                <w:rStyle w:val="66"/>
                <w:rFonts w:hint="default" w:ascii="Times New Roman" w:hAnsi="Times New Roman" w:eastAsia="仿宋" w:cs="Times New Roman"/>
                <w:b/>
                <w:bCs/>
                <w:sz w:val="24"/>
                <w:szCs w:val="24"/>
              </w:rPr>
            </w:pPr>
            <w:r>
              <w:rPr>
                <w:rStyle w:val="66"/>
                <w:rFonts w:hint="default" w:ascii="Times New Roman" w:hAnsi="Times New Roman" w:eastAsia="仿宋" w:cs="Times New Roman"/>
                <w:b/>
                <w:bCs/>
                <w:sz w:val="24"/>
                <w:szCs w:val="24"/>
              </w:rPr>
              <w:t>序号</w:t>
            </w:r>
          </w:p>
        </w:tc>
        <w:tc>
          <w:tcPr>
            <w:tcW w:w="969" w:type="pct"/>
            <w:vAlign w:val="center"/>
          </w:tcPr>
          <w:p w14:paraId="5B7CEF55">
            <w:pPr>
              <w:pStyle w:val="64"/>
              <w:ind w:left="0" w:leftChars="0" w:right="0" w:rightChars="0" w:firstLine="0" w:firstLineChars="0"/>
              <w:jc w:val="center"/>
              <w:rPr>
                <w:rStyle w:val="66"/>
                <w:rFonts w:hint="default" w:ascii="Times New Roman" w:hAnsi="Times New Roman" w:eastAsia="仿宋" w:cs="Times New Roman"/>
                <w:b/>
                <w:bCs/>
                <w:sz w:val="24"/>
                <w:szCs w:val="24"/>
              </w:rPr>
            </w:pPr>
            <w:r>
              <w:rPr>
                <w:rStyle w:val="66"/>
                <w:rFonts w:hint="default" w:ascii="Times New Roman" w:hAnsi="Times New Roman" w:eastAsia="仿宋" w:cs="Times New Roman"/>
                <w:b/>
                <w:bCs/>
                <w:sz w:val="24"/>
                <w:szCs w:val="24"/>
              </w:rPr>
              <w:t>指标</w:t>
            </w:r>
          </w:p>
          <w:p w14:paraId="70CAF9A3">
            <w:pPr>
              <w:pStyle w:val="64"/>
              <w:ind w:left="0" w:leftChars="0" w:right="0" w:rightChars="0" w:firstLine="0" w:firstLineChars="0"/>
              <w:jc w:val="center"/>
              <w:rPr>
                <w:rStyle w:val="66"/>
                <w:rFonts w:hint="default" w:ascii="Times New Roman" w:hAnsi="Times New Roman" w:eastAsia="仿宋" w:cs="Times New Roman"/>
                <w:b/>
                <w:bCs/>
                <w:sz w:val="24"/>
                <w:szCs w:val="24"/>
              </w:rPr>
            </w:pPr>
            <w:r>
              <w:rPr>
                <w:rStyle w:val="66"/>
                <w:rFonts w:hint="default" w:ascii="Times New Roman" w:hAnsi="Times New Roman" w:eastAsia="仿宋" w:cs="Times New Roman"/>
                <w:b/>
                <w:bCs/>
                <w:sz w:val="24"/>
                <w:szCs w:val="24"/>
              </w:rPr>
              <w:t>名称</w:t>
            </w:r>
          </w:p>
        </w:tc>
        <w:tc>
          <w:tcPr>
            <w:tcW w:w="915" w:type="pct"/>
            <w:vAlign w:val="center"/>
          </w:tcPr>
          <w:p w14:paraId="14B7F76E">
            <w:pPr>
              <w:pStyle w:val="64"/>
              <w:ind w:left="0" w:leftChars="0" w:right="0" w:rightChars="0" w:firstLine="0" w:firstLineChars="0"/>
              <w:jc w:val="center"/>
              <w:rPr>
                <w:rStyle w:val="66"/>
                <w:rFonts w:hint="default" w:ascii="Times New Roman" w:hAnsi="Times New Roman" w:eastAsia="仿宋" w:cs="Times New Roman"/>
                <w:b/>
                <w:bCs/>
                <w:sz w:val="24"/>
                <w:szCs w:val="24"/>
              </w:rPr>
            </w:pPr>
            <w:r>
              <w:rPr>
                <w:rStyle w:val="66"/>
                <w:rFonts w:hint="default" w:ascii="Times New Roman" w:hAnsi="Times New Roman" w:eastAsia="仿宋" w:cs="Times New Roman"/>
                <w:b/>
                <w:bCs/>
                <w:sz w:val="24"/>
                <w:szCs w:val="24"/>
              </w:rPr>
              <w:t>指标值</w:t>
            </w:r>
          </w:p>
        </w:tc>
        <w:tc>
          <w:tcPr>
            <w:tcW w:w="937" w:type="pct"/>
            <w:vAlign w:val="center"/>
          </w:tcPr>
          <w:p w14:paraId="65239AD7">
            <w:pPr>
              <w:pStyle w:val="64"/>
              <w:ind w:left="0" w:leftChars="0" w:right="0" w:rightChars="0" w:firstLine="0" w:firstLineChars="0"/>
              <w:jc w:val="center"/>
              <w:rPr>
                <w:rStyle w:val="66"/>
                <w:rFonts w:hint="default" w:ascii="Times New Roman" w:hAnsi="Times New Roman" w:eastAsia="仿宋" w:cs="Times New Roman"/>
                <w:b/>
                <w:bCs/>
                <w:sz w:val="24"/>
                <w:szCs w:val="24"/>
              </w:rPr>
            </w:pPr>
            <w:r>
              <w:rPr>
                <w:rStyle w:val="66"/>
                <w:rFonts w:hint="default" w:ascii="Times New Roman" w:hAnsi="Times New Roman" w:eastAsia="仿宋" w:cs="Times New Roman"/>
                <w:b/>
                <w:bCs/>
                <w:sz w:val="24"/>
                <w:szCs w:val="24"/>
              </w:rPr>
              <w:t>省平均值</w:t>
            </w:r>
          </w:p>
        </w:tc>
        <w:tc>
          <w:tcPr>
            <w:tcW w:w="750" w:type="pct"/>
            <w:vAlign w:val="center"/>
          </w:tcPr>
          <w:p w14:paraId="14F87CA3">
            <w:pPr>
              <w:pStyle w:val="64"/>
              <w:ind w:left="0" w:leftChars="0" w:right="0" w:rightChars="0" w:firstLine="0" w:firstLineChars="0"/>
              <w:jc w:val="center"/>
              <w:rPr>
                <w:rStyle w:val="66"/>
                <w:rFonts w:hint="default" w:ascii="Times New Roman" w:hAnsi="Times New Roman" w:eastAsia="仿宋" w:cs="Times New Roman"/>
                <w:b/>
                <w:bCs/>
                <w:sz w:val="24"/>
                <w:szCs w:val="24"/>
              </w:rPr>
            </w:pPr>
            <w:r>
              <w:rPr>
                <w:rStyle w:val="66"/>
                <w:rFonts w:hint="default" w:ascii="Times New Roman" w:hAnsi="Times New Roman" w:eastAsia="仿宋" w:cs="Times New Roman"/>
                <w:b/>
                <w:bCs/>
                <w:sz w:val="24"/>
                <w:szCs w:val="24"/>
              </w:rPr>
              <w:t>评价</w:t>
            </w:r>
          </w:p>
          <w:p w14:paraId="07F881A8">
            <w:pPr>
              <w:pStyle w:val="64"/>
              <w:ind w:left="0" w:leftChars="0" w:right="0" w:rightChars="0" w:firstLine="0" w:firstLineChars="0"/>
              <w:jc w:val="center"/>
              <w:rPr>
                <w:rStyle w:val="66"/>
                <w:rFonts w:hint="default" w:ascii="Times New Roman" w:hAnsi="Times New Roman" w:eastAsia="仿宋" w:cs="Times New Roman"/>
                <w:b/>
                <w:bCs/>
                <w:sz w:val="24"/>
                <w:szCs w:val="24"/>
              </w:rPr>
            </w:pPr>
            <w:r>
              <w:rPr>
                <w:rStyle w:val="66"/>
                <w:rFonts w:hint="default" w:ascii="Times New Roman" w:hAnsi="Times New Roman" w:eastAsia="仿宋" w:cs="Times New Roman"/>
                <w:b/>
                <w:bCs/>
                <w:sz w:val="24"/>
                <w:szCs w:val="24"/>
              </w:rPr>
              <w:t>标准</w:t>
            </w:r>
          </w:p>
        </w:tc>
        <w:tc>
          <w:tcPr>
            <w:tcW w:w="742" w:type="pct"/>
            <w:vAlign w:val="center"/>
          </w:tcPr>
          <w:p w14:paraId="6146B6E9">
            <w:pPr>
              <w:pStyle w:val="64"/>
              <w:ind w:left="0" w:leftChars="0" w:right="0" w:rightChars="0" w:firstLine="0" w:firstLineChars="0"/>
              <w:jc w:val="center"/>
              <w:rPr>
                <w:rStyle w:val="66"/>
                <w:rFonts w:hint="default" w:ascii="Times New Roman" w:hAnsi="Times New Roman" w:eastAsia="仿宋" w:cs="Times New Roman"/>
                <w:b/>
                <w:bCs/>
                <w:sz w:val="24"/>
                <w:szCs w:val="24"/>
              </w:rPr>
            </w:pPr>
            <w:r>
              <w:rPr>
                <w:rStyle w:val="66"/>
                <w:rFonts w:hint="default" w:ascii="Times New Roman" w:hAnsi="Times New Roman" w:eastAsia="仿宋" w:cs="Times New Roman"/>
                <w:b/>
                <w:bCs/>
                <w:sz w:val="24"/>
                <w:szCs w:val="24"/>
              </w:rPr>
              <w:t>排名</w:t>
            </w:r>
          </w:p>
        </w:tc>
      </w:tr>
      <w:tr w14:paraId="66DE8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pct"/>
          </w:tcPr>
          <w:p w14:paraId="5DAF44AE">
            <w:pPr>
              <w:pStyle w:val="64"/>
              <w:jc w:val="center"/>
              <w:rPr>
                <w:rFonts w:hint="default" w:ascii="Times New Roman" w:hAnsi="Times New Roman" w:eastAsia="仿宋" w:cs="Times New Roman"/>
                <w:iCs/>
                <w:sz w:val="24"/>
                <w:szCs w:val="24"/>
              </w:rPr>
            </w:pPr>
            <w:r>
              <w:rPr>
                <w:rFonts w:hint="default" w:ascii="Times New Roman" w:hAnsi="Times New Roman" w:eastAsia="仿宋" w:cs="Times New Roman"/>
                <w:iCs/>
                <w:sz w:val="24"/>
                <w:szCs w:val="24"/>
              </w:rPr>
              <w:t>1</w:t>
            </w:r>
          </w:p>
        </w:tc>
        <w:tc>
          <w:tcPr>
            <w:tcW w:w="969" w:type="pct"/>
            <w:vAlign w:val="center"/>
          </w:tcPr>
          <w:p w14:paraId="07CE2F1E">
            <w:pPr>
              <w:pStyle w:val="64"/>
              <w:jc w:val="center"/>
              <w:rPr>
                <w:rFonts w:hint="default" w:ascii="Times New Roman" w:hAnsi="Times New Roman" w:eastAsia="仿宋" w:cs="Times New Roman"/>
                <w:iCs/>
                <w:sz w:val="24"/>
                <w:szCs w:val="24"/>
              </w:rPr>
            </w:pPr>
            <w:r>
              <w:rPr>
                <w:rFonts w:hint="default" w:ascii="Times New Roman" w:hAnsi="Times New Roman" w:eastAsia="仿宋" w:cs="Times New Roman"/>
                <w:iCs/>
                <w:sz w:val="24"/>
                <w:szCs w:val="24"/>
              </w:rPr>
              <w:t>XX</w:t>
            </w:r>
          </w:p>
        </w:tc>
        <w:tc>
          <w:tcPr>
            <w:tcW w:w="915" w:type="pct"/>
            <w:vAlign w:val="center"/>
          </w:tcPr>
          <w:p w14:paraId="7A426996">
            <w:pPr>
              <w:pStyle w:val="64"/>
              <w:jc w:val="center"/>
              <w:rPr>
                <w:rFonts w:hint="default" w:ascii="Times New Roman" w:hAnsi="Times New Roman" w:eastAsia="仿宋" w:cs="Times New Roman"/>
                <w:iCs/>
                <w:sz w:val="24"/>
                <w:szCs w:val="24"/>
              </w:rPr>
            </w:pPr>
            <w:r>
              <w:rPr>
                <w:rFonts w:hint="default" w:ascii="Times New Roman" w:hAnsi="Times New Roman" w:eastAsia="仿宋" w:cs="Times New Roman"/>
                <w:iCs/>
                <w:sz w:val="24"/>
                <w:szCs w:val="24"/>
              </w:rPr>
              <w:t>XX</w:t>
            </w:r>
          </w:p>
        </w:tc>
        <w:tc>
          <w:tcPr>
            <w:tcW w:w="937" w:type="pct"/>
            <w:vAlign w:val="center"/>
          </w:tcPr>
          <w:p w14:paraId="44C0FCFD">
            <w:pPr>
              <w:pStyle w:val="64"/>
              <w:jc w:val="center"/>
              <w:rPr>
                <w:rFonts w:hint="default" w:ascii="Times New Roman" w:hAnsi="Times New Roman" w:eastAsia="仿宋" w:cs="Times New Roman"/>
                <w:iCs/>
                <w:sz w:val="24"/>
                <w:szCs w:val="24"/>
              </w:rPr>
            </w:pPr>
            <w:r>
              <w:rPr>
                <w:rFonts w:hint="default" w:ascii="Times New Roman" w:hAnsi="Times New Roman" w:eastAsia="仿宋" w:cs="Times New Roman"/>
                <w:iCs/>
                <w:sz w:val="24"/>
                <w:szCs w:val="24"/>
              </w:rPr>
              <w:t>XX</w:t>
            </w:r>
          </w:p>
        </w:tc>
        <w:tc>
          <w:tcPr>
            <w:tcW w:w="750" w:type="pct"/>
            <w:vAlign w:val="center"/>
          </w:tcPr>
          <w:p w14:paraId="37949640">
            <w:pPr>
              <w:pStyle w:val="64"/>
              <w:jc w:val="center"/>
              <w:rPr>
                <w:rFonts w:hint="default" w:ascii="Times New Roman" w:hAnsi="Times New Roman" w:eastAsia="仿宋" w:cs="Times New Roman"/>
                <w:iCs/>
                <w:sz w:val="24"/>
                <w:szCs w:val="24"/>
              </w:rPr>
            </w:pPr>
            <w:r>
              <w:rPr>
                <w:rFonts w:hint="default" w:ascii="Times New Roman" w:hAnsi="Times New Roman" w:eastAsia="仿宋" w:cs="Times New Roman"/>
                <w:iCs/>
                <w:sz w:val="24"/>
                <w:szCs w:val="24"/>
              </w:rPr>
              <w:t>≤XX</w:t>
            </w:r>
          </w:p>
        </w:tc>
        <w:tc>
          <w:tcPr>
            <w:tcW w:w="742" w:type="pct"/>
          </w:tcPr>
          <w:p w14:paraId="6E85AA1C">
            <w:pPr>
              <w:pStyle w:val="64"/>
              <w:jc w:val="center"/>
              <w:rPr>
                <w:rFonts w:hint="default" w:ascii="Times New Roman" w:hAnsi="Times New Roman" w:eastAsia="仿宋" w:cs="Times New Roman"/>
                <w:iCs/>
                <w:sz w:val="24"/>
                <w:szCs w:val="24"/>
              </w:rPr>
            </w:pPr>
            <w:r>
              <w:rPr>
                <w:rFonts w:hint="default" w:ascii="Times New Roman" w:hAnsi="Times New Roman" w:eastAsia="仿宋" w:cs="Times New Roman"/>
                <w:iCs/>
                <w:sz w:val="24"/>
                <w:szCs w:val="24"/>
              </w:rPr>
              <w:t>10/10</w:t>
            </w:r>
          </w:p>
        </w:tc>
      </w:tr>
      <w:tr w14:paraId="127B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pct"/>
          </w:tcPr>
          <w:p w14:paraId="317A36BA">
            <w:pPr>
              <w:pStyle w:val="64"/>
              <w:jc w:val="center"/>
              <w:rPr>
                <w:rFonts w:hint="default" w:ascii="Times New Roman" w:hAnsi="Times New Roman" w:eastAsia="仿宋" w:cs="Times New Roman"/>
                <w:iCs/>
                <w:sz w:val="24"/>
                <w:szCs w:val="24"/>
              </w:rPr>
            </w:pPr>
            <w:r>
              <w:rPr>
                <w:rFonts w:hint="default" w:ascii="Times New Roman" w:hAnsi="Times New Roman" w:eastAsia="仿宋" w:cs="Times New Roman"/>
                <w:iCs/>
                <w:sz w:val="24"/>
                <w:szCs w:val="24"/>
              </w:rPr>
              <w:t>2</w:t>
            </w:r>
          </w:p>
        </w:tc>
        <w:tc>
          <w:tcPr>
            <w:tcW w:w="969" w:type="pct"/>
            <w:vAlign w:val="center"/>
          </w:tcPr>
          <w:p w14:paraId="0251A71D">
            <w:pPr>
              <w:pStyle w:val="64"/>
              <w:jc w:val="center"/>
              <w:rPr>
                <w:rFonts w:hint="default" w:ascii="Times New Roman" w:hAnsi="Times New Roman" w:eastAsia="仿宋" w:cs="Times New Roman"/>
                <w:iCs/>
                <w:sz w:val="24"/>
                <w:szCs w:val="24"/>
              </w:rPr>
            </w:pPr>
            <w:r>
              <w:rPr>
                <w:rFonts w:hint="default" w:ascii="Times New Roman" w:hAnsi="Times New Roman" w:eastAsia="仿宋" w:cs="Times New Roman"/>
                <w:iCs/>
                <w:sz w:val="24"/>
                <w:szCs w:val="24"/>
              </w:rPr>
              <w:t>……</w:t>
            </w:r>
          </w:p>
        </w:tc>
        <w:tc>
          <w:tcPr>
            <w:tcW w:w="915" w:type="pct"/>
            <w:vAlign w:val="center"/>
          </w:tcPr>
          <w:p w14:paraId="2700BB00">
            <w:pPr>
              <w:pStyle w:val="64"/>
              <w:jc w:val="center"/>
              <w:rPr>
                <w:rFonts w:hint="default" w:ascii="Times New Roman" w:hAnsi="Times New Roman" w:eastAsia="仿宋" w:cs="Times New Roman"/>
                <w:iCs/>
                <w:sz w:val="24"/>
                <w:szCs w:val="24"/>
              </w:rPr>
            </w:pPr>
            <w:r>
              <w:rPr>
                <w:rFonts w:hint="default" w:ascii="Times New Roman" w:hAnsi="Times New Roman" w:eastAsia="仿宋" w:cs="Times New Roman"/>
                <w:iCs/>
                <w:sz w:val="24"/>
                <w:szCs w:val="24"/>
              </w:rPr>
              <w:t>……</w:t>
            </w:r>
          </w:p>
        </w:tc>
        <w:tc>
          <w:tcPr>
            <w:tcW w:w="937" w:type="pct"/>
            <w:vAlign w:val="center"/>
          </w:tcPr>
          <w:p w14:paraId="66251450">
            <w:pPr>
              <w:pStyle w:val="64"/>
              <w:jc w:val="center"/>
              <w:rPr>
                <w:rFonts w:hint="default" w:ascii="Times New Roman" w:hAnsi="Times New Roman" w:eastAsia="仿宋" w:cs="Times New Roman"/>
                <w:iCs/>
                <w:sz w:val="24"/>
                <w:szCs w:val="24"/>
              </w:rPr>
            </w:pPr>
            <w:r>
              <w:rPr>
                <w:rFonts w:hint="default" w:ascii="Times New Roman" w:hAnsi="Times New Roman" w:eastAsia="仿宋" w:cs="Times New Roman"/>
                <w:iCs/>
                <w:sz w:val="24"/>
                <w:szCs w:val="24"/>
              </w:rPr>
              <w:t>……</w:t>
            </w:r>
          </w:p>
        </w:tc>
        <w:tc>
          <w:tcPr>
            <w:tcW w:w="750" w:type="pct"/>
            <w:vAlign w:val="center"/>
          </w:tcPr>
          <w:p w14:paraId="192BD06A">
            <w:pPr>
              <w:pStyle w:val="64"/>
              <w:jc w:val="center"/>
              <w:rPr>
                <w:rFonts w:hint="default" w:ascii="Times New Roman" w:hAnsi="Times New Roman" w:eastAsia="仿宋" w:cs="Times New Roman"/>
                <w:iCs/>
                <w:sz w:val="24"/>
                <w:szCs w:val="24"/>
              </w:rPr>
            </w:pPr>
            <w:r>
              <w:rPr>
                <w:rFonts w:hint="default" w:ascii="Times New Roman" w:hAnsi="Times New Roman" w:eastAsia="仿宋" w:cs="Times New Roman"/>
                <w:iCs/>
                <w:sz w:val="24"/>
                <w:szCs w:val="24"/>
              </w:rPr>
              <w:t>……</w:t>
            </w:r>
          </w:p>
        </w:tc>
        <w:tc>
          <w:tcPr>
            <w:tcW w:w="742" w:type="pct"/>
            <w:vAlign w:val="center"/>
          </w:tcPr>
          <w:p w14:paraId="4CE75CDD">
            <w:pPr>
              <w:pStyle w:val="64"/>
              <w:jc w:val="center"/>
              <w:rPr>
                <w:rFonts w:hint="default" w:ascii="Times New Roman" w:hAnsi="Times New Roman" w:eastAsia="仿宋" w:cs="Times New Roman"/>
                <w:iCs/>
                <w:sz w:val="24"/>
                <w:szCs w:val="24"/>
              </w:rPr>
            </w:pPr>
            <w:r>
              <w:rPr>
                <w:rFonts w:hint="default" w:ascii="Times New Roman" w:hAnsi="Times New Roman" w:eastAsia="仿宋" w:cs="Times New Roman"/>
                <w:iCs/>
                <w:sz w:val="24"/>
                <w:szCs w:val="24"/>
              </w:rPr>
              <w:t>……</w:t>
            </w:r>
          </w:p>
        </w:tc>
      </w:tr>
      <w:tr w14:paraId="56F0B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pct"/>
          </w:tcPr>
          <w:p w14:paraId="38167DCC">
            <w:pPr>
              <w:pStyle w:val="64"/>
              <w:jc w:val="center"/>
              <w:rPr>
                <w:rFonts w:hint="default" w:ascii="Times New Roman" w:hAnsi="Times New Roman" w:eastAsia="仿宋" w:cs="Times New Roman"/>
                <w:iCs/>
                <w:sz w:val="24"/>
                <w:szCs w:val="24"/>
              </w:rPr>
            </w:pPr>
            <w:r>
              <w:rPr>
                <w:rFonts w:hint="default" w:ascii="Times New Roman" w:hAnsi="Times New Roman" w:eastAsia="仿宋" w:cs="Times New Roman"/>
                <w:iCs/>
                <w:sz w:val="24"/>
                <w:szCs w:val="24"/>
              </w:rPr>
              <w:t>3</w:t>
            </w:r>
          </w:p>
        </w:tc>
        <w:tc>
          <w:tcPr>
            <w:tcW w:w="969" w:type="pct"/>
            <w:vAlign w:val="center"/>
          </w:tcPr>
          <w:p w14:paraId="7E2DD860">
            <w:pPr>
              <w:pStyle w:val="64"/>
              <w:jc w:val="center"/>
              <w:rPr>
                <w:rFonts w:hint="default" w:ascii="Times New Roman" w:hAnsi="Times New Roman" w:eastAsia="仿宋" w:cs="Times New Roman"/>
                <w:iCs/>
                <w:sz w:val="24"/>
                <w:szCs w:val="24"/>
              </w:rPr>
            </w:pPr>
            <w:r>
              <w:rPr>
                <w:rFonts w:hint="default" w:ascii="Times New Roman" w:hAnsi="Times New Roman" w:eastAsia="仿宋" w:cs="Times New Roman"/>
                <w:iCs/>
                <w:sz w:val="24"/>
                <w:szCs w:val="24"/>
              </w:rPr>
              <w:t>……</w:t>
            </w:r>
          </w:p>
        </w:tc>
        <w:tc>
          <w:tcPr>
            <w:tcW w:w="915" w:type="pct"/>
            <w:vAlign w:val="center"/>
          </w:tcPr>
          <w:p w14:paraId="679BB770">
            <w:pPr>
              <w:pStyle w:val="64"/>
              <w:jc w:val="center"/>
              <w:rPr>
                <w:rFonts w:hint="default" w:ascii="Times New Roman" w:hAnsi="Times New Roman" w:eastAsia="仿宋" w:cs="Times New Roman"/>
                <w:sz w:val="24"/>
                <w:szCs w:val="24"/>
              </w:rPr>
            </w:pPr>
            <w:r>
              <w:rPr>
                <w:rFonts w:hint="default" w:ascii="Times New Roman" w:hAnsi="Times New Roman" w:eastAsia="仿宋" w:cs="Times New Roman"/>
                <w:iCs/>
                <w:sz w:val="24"/>
                <w:szCs w:val="24"/>
              </w:rPr>
              <w:t>……</w:t>
            </w:r>
          </w:p>
        </w:tc>
        <w:tc>
          <w:tcPr>
            <w:tcW w:w="937" w:type="pct"/>
            <w:vAlign w:val="center"/>
          </w:tcPr>
          <w:p w14:paraId="34ED0363">
            <w:pPr>
              <w:pStyle w:val="64"/>
              <w:jc w:val="center"/>
              <w:rPr>
                <w:rFonts w:hint="default" w:ascii="Times New Roman" w:hAnsi="Times New Roman" w:eastAsia="仿宋" w:cs="Times New Roman"/>
                <w:sz w:val="24"/>
                <w:szCs w:val="24"/>
              </w:rPr>
            </w:pPr>
            <w:r>
              <w:rPr>
                <w:rFonts w:hint="default" w:ascii="Times New Roman" w:hAnsi="Times New Roman" w:eastAsia="仿宋" w:cs="Times New Roman"/>
                <w:iCs/>
                <w:sz w:val="24"/>
                <w:szCs w:val="24"/>
              </w:rPr>
              <w:t>……</w:t>
            </w:r>
          </w:p>
        </w:tc>
        <w:tc>
          <w:tcPr>
            <w:tcW w:w="750" w:type="pct"/>
            <w:vAlign w:val="center"/>
          </w:tcPr>
          <w:p w14:paraId="153D1CD0">
            <w:pPr>
              <w:pStyle w:val="64"/>
              <w:jc w:val="center"/>
              <w:rPr>
                <w:rFonts w:hint="default" w:ascii="Times New Roman" w:hAnsi="Times New Roman" w:eastAsia="仿宋" w:cs="Times New Roman"/>
                <w:iCs/>
                <w:sz w:val="24"/>
                <w:szCs w:val="24"/>
              </w:rPr>
            </w:pPr>
            <w:r>
              <w:rPr>
                <w:rFonts w:hint="default" w:ascii="Times New Roman" w:hAnsi="Times New Roman" w:eastAsia="仿宋" w:cs="Times New Roman"/>
                <w:iCs/>
                <w:sz w:val="24"/>
                <w:szCs w:val="24"/>
              </w:rPr>
              <w:t>……</w:t>
            </w:r>
          </w:p>
        </w:tc>
        <w:tc>
          <w:tcPr>
            <w:tcW w:w="742" w:type="pct"/>
            <w:vAlign w:val="center"/>
          </w:tcPr>
          <w:p w14:paraId="41E4AC06">
            <w:pPr>
              <w:pStyle w:val="64"/>
              <w:jc w:val="center"/>
              <w:rPr>
                <w:rFonts w:hint="default" w:ascii="Times New Roman" w:hAnsi="Times New Roman" w:eastAsia="仿宋" w:cs="Times New Roman"/>
                <w:iCs/>
                <w:sz w:val="24"/>
                <w:szCs w:val="24"/>
              </w:rPr>
            </w:pPr>
            <w:r>
              <w:rPr>
                <w:rFonts w:hint="default" w:ascii="Times New Roman" w:hAnsi="Times New Roman" w:eastAsia="仿宋" w:cs="Times New Roman"/>
                <w:iCs/>
                <w:sz w:val="24"/>
                <w:szCs w:val="24"/>
              </w:rPr>
              <w:t>……</w:t>
            </w:r>
          </w:p>
        </w:tc>
      </w:tr>
      <w:tr w14:paraId="2E04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pct"/>
          </w:tcPr>
          <w:p w14:paraId="65FB1825">
            <w:pPr>
              <w:pStyle w:val="64"/>
              <w:jc w:val="center"/>
              <w:rPr>
                <w:rFonts w:hint="default" w:ascii="Times New Roman" w:hAnsi="Times New Roman" w:eastAsia="仿宋" w:cs="Times New Roman"/>
                <w:iCs/>
                <w:sz w:val="24"/>
                <w:szCs w:val="24"/>
              </w:rPr>
            </w:pPr>
            <w:r>
              <w:rPr>
                <w:rFonts w:hint="default" w:ascii="Times New Roman" w:hAnsi="Times New Roman" w:eastAsia="仿宋" w:cs="Times New Roman"/>
                <w:iCs/>
                <w:sz w:val="24"/>
                <w:szCs w:val="24"/>
              </w:rPr>
              <w:t>4</w:t>
            </w:r>
          </w:p>
        </w:tc>
        <w:tc>
          <w:tcPr>
            <w:tcW w:w="969" w:type="pct"/>
            <w:vAlign w:val="center"/>
          </w:tcPr>
          <w:p w14:paraId="45A21920">
            <w:pPr>
              <w:pStyle w:val="64"/>
              <w:jc w:val="center"/>
              <w:rPr>
                <w:rFonts w:hint="default" w:ascii="Times New Roman" w:hAnsi="Times New Roman" w:eastAsia="仿宋" w:cs="Times New Roman"/>
                <w:iCs/>
                <w:sz w:val="24"/>
                <w:szCs w:val="24"/>
              </w:rPr>
            </w:pPr>
            <w:r>
              <w:rPr>
                <w:rFonts w:hint="default" w:ascii="Times New Roman" w:hAnsi="Times New Roman" w:eastAsia="仿宋" w:cs="Times New Roman"/>
                <w:iCs/>
                <w:sz w:val="24"/>
                <w:szCs w:val="24"/>
              </w:rPr>
              <w:t>……</w:t>
            </w:r>
          </w:p>
        </w:tc>
        <w:tc>
          <w:tcPr>
            <w:tcW w:w="915" w:type="pct"/>
            <w:vAlign w:val="center"/>
          </w:tcPr>
          <w:p w14:paraId="68B1D86B">
            <w:pPr>
              <w:pStyle w:val="64"/>
              <w:jc w:val="center"/>
              <w:rPr>
                <w:rFonts w:hint="default" w:ascii="Times New Roman" w:hAnsi="Times New Roman" w:eastAsia="仿宋" w:cs="Times New Roman"/>
                <w:sz w:val="24"/>
                <w:szCs w:val="24"/>
              </w:rPr>
            </w:pPr>
            <w:r>
              <w:rPr>
                <w:rFonts w:hint="default" w:ascii="Times New Roman" w:hAnsi="Times New Roman" w:eastAsia="仿宋" w:cs="Times New Roman"/>
                <w:iCs/>
                <w:sz w:val="24"/>
                <w:szCs w:val="24"/>
              </w:rPr>
              <w:t>……</w:t>
            </w:r>
          </w:p>
        </w:tc>
        <w:tc>
          <w:tcPr>
            <w:tcW w:w="937" w:type="pct"/>
            <w:vAlign w:val="center"/>
          </w:tcPr>
          <w:p w14:paraId="6946281D">
            <w:pPr>
              <w:pStyle w:val="64"/>
              <w:jc w:val="center"/>
              <w:rPr>
                <w:rFonts w:hint="default" w:ascii="Times New Roman" w:hAnsi="Times New Roman" w:eastAsia="仿宋" w:cs="Times New Roman"/>
                <w:sz w:val="24"/>
                <w:szCs w:val="24"/>
              </w:rPr>
            </w:pPr>
            <w:r>
              <w:rPr>
                <w:rFonts w:hint="default" w:ascii="Times New Roman" w:hAnsi="Times New Roman" w:eastAsia="仿宋" w:cs="Times New Roman"/>
                <w:iCs/>
                <w:sz w:val="24"/>
                <w:szCs w:val="24"/>
              </w:rPr>
              <w:t>……</w:t>
            </w:r>
          </w:p>
        </w:tc>
        <w:tc>
          <w:tcPr>
            <w:tcW w:w="750" w:type="pct"/>
            <w:vAlign w:val="center"/>
          </w:tcPr>
          <w:p w14:paraId="1CB98D58">
            <w:pPr>
              <w:pStyle w:val="64"/>
              <w:jc w:val="center"/>
              <w:rPr>
                <w:rFonts w:hint="default" w:ascii="Times New Roman" w:hAnsi="Times New Roman" w:eastAsia="仿宋" w:cs="Times New Roman"/>
                <w:iCs/>
                <w:sz w:val="24"/>
                <w:szCs w:val="24"/>
              </w:rPr>
            </w:pPr>
            <w:r>
              <w:rPr>
                <w:rFonts w:hint="default" w:ascii="Times New Roman" w:hAnsi="Times New Roman" w:eastAsia="仿宋" w:cs="Times New Roman"/>
                <w:iCs/>
                <w:sz w:val="24"/>
                <w:szCs w:val="24"/>
              </w:rPr>
              <w:t>……</w:t>
            </w:r>
          </w:p>
        </w:tc>
        <w:tc>
          <w:tcPr>
            <w:tcW w:w="742" w:type="pct"/>
            <w:vAlign w:val="center"/>
          </w:tcPr>
          <w:p w14:paraId="00A28FA6">
            <w:pPr>
              <w:pStyle w:val="64"/>
              <w:jc w:val="center"/>
              <w:rPr>
                <w:rFonts w:hint="default" w:ascii="Times New Roman" w:hAnsi="Times New Roman" w:eastAsia="仿宋" w:cs="Times New Roman"/>
                <w:iCs/>
                <w:sz w:val="24"/>
                <w:szCs w:val="24"/>
              </w:rPr>
            </w:pPr>
            <w:r>
              <w:rPr>
                <w:rFonts w:hint="default" w:ascii="Times New Roman" w:hAnsi="Times New Roman" w:eastAsia="仿宋" w:cs="Times New Roman"/>
                <w:iCs/>
                <w:sz w:val="24"/>
                <w:szCs w:val="24"/>
              </w:rPr>
              <w:t>……</w:t>
            </w:r>
          </w:p>
        </w:tc>
      </w:tr>
      <w:tr w14:paraId="30448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pct"/>
          </w:tcPr>
          <w:p w14:paraId="17251914">
            <w:pPr>
              <w:pStyle w:val="64"/>
              <w:jc w:val="center"/>
              <w:rPr>
                <w:rFonts w:hint="default" w:ascii="Times New Roman" w:hAnsi="Times New Roman" w:eastAsia="仿宋" w:cs="Times New Roman"/>
                <w:iCs/>
                <w:sz w:val="24"/>
                <w:szCs w:val="24"/>
              </w:rPr>
            </w:pPr>
            <w:r>
              <w:rPr>
                <w:rFonts w:hint="default" w:ascii="Times New Roman" w:hAnsi="Times New Roman" w:eastAsia="仿宋" w:cs="Times New Roman"/>
                <w:iCs/>
                <w:sz w:val="24"/>
                <w:szCs w:val="24"/>
              </w:rPr>
              <w:t>……</w:t>
            </w:r>
          </w:p>
        </w:tc>
        <w:tc>
          <w:tcPr>
            <w:tcW w:w="969" w:type="pct"/>
          </w:tcPr>
          <w:p w14:paraId="5D09F8E7">
            <w:pPr>
              <w:pStyle w:val="64"/>
              <w:jc w:val="center"/>
              <w:rPr>
                <w:rFonts w:hint="default" w:ascii="Times New Roman" w:hAnsi="Times New Roman" w:eastAsia="仿宋" w:cs="Times New Roman"/>
                <w:iCs/>
                <w:sz w:val="24"/>
                <w:szCs w:val="24"/>
              </w:rPr>
            </w:pPr>
            <w:r>
              <w:rPr>
                <w:rFonts w:hint="default" w:ascii="Times New Roman" w:hAnsi="Times New Roman" w:eastAsia="仿宋" w:cs="Times New Roman"/>
                <w:iCs/>
                <w:sz w:val="24"/>
                <w:szCs w:val="24"/>
              </w:rPr>
              <w:t>……</w:t>
            </w:r>
          </w:p>
        </w:tc>
        <w:tc>
          <w:tcPr>
            <w:tcW w:w="915" w:type="pct"/>
          </w:tcPr>
          <w:p w14:paraId="1A4E9377">
            <w:pPr>
              <w:pStyle w:val="64"/>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937" w:type="pct"/>
          </w:tcPr>
          <w:p w14:paraId="37688929">
            <w:pPr>
              <w:pStyle w:val="64"/>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750" w:type="pct"/>
          </w:tcPr>
          <w:p w14:paraId="4CB1DF3E">
            <w:pPr>
              <w:pStyle w:val="64"/>
              <w:jc w:val="center"/>
              <w:rPr>
                <w:rFonts w:hint="default" w:ascii="Times New Roman" w:hAnsi="Times New Roman" w:eastAsia="仿宋" w:cs="Times New Roman"/>
                <w:iCs/>
                <w:sz w:val="24"/>
                <w:szCs w:val="24"/>
              </w:rPr>
            </w:pPr>
            <w:r>
              <w:rPr>
                <w:rFonts w:hint="default" w:ascii="Times New Roman" w:hAnsi="Times New Roman" w:eastAsia="仿宋" w:cs="Times New Roman"/>
                <w:iCs/>
                <w:sz w:val="24"/>
                <w:szCs w:val="24"/>
              </w:rPr>
              <w:t>……</w:t>
            </w:r>
          </w:p>
        </w:tc>
        <w:tc>
          <w:tcPr>
            <w:tcW w:w="742" w:type="pct"/>
          </w:tcPr>
          <w:p w14:paraId="5E5C5344">
            <w:pPr>
              <w:pStyle w:val="64"/>
              <w:jc w:val="center"/>
              <w:rPr>
                <w:rFonts w:hint="default" w:ascii="Times New Roman" w:hAnsi="Times New Roman" w:eastAsia="仿宋" w:cs="Times New Roman"/>
                <w:iCs/>
                <w:sz w:val="24"/>
                <w:szCs w:val="24"/>
              </w:rPr>
            </w:pPr>
            <w:r>
              <w:rPr>
                <w:rFonts w:hint="default" w:ascii="Times New Roman" w:hAnsi="Times New Roman" w:eastAsia="仿宋" w:cs="Times New Roman"/>
                <w:iCs/>
                <w:sz w:val="24"/>
                <w:szCs w:val="24"/>
              </w:rPr>
              <w:t>……</w:t>
            </w:r>
          </w:p>
        </w:tc>
      </w:tr>
    </w:tbl>
    <w:p w14:paraId="3CC9B339">
      <w:pPr>
        <w:spacing w:line="360" w:lineRule="auto"/>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第四章 社会满意度调查</w:t>
      </w:r>
    </w:p>
    <w:p w14:paraId="4D643716">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介绍社会满意度调查的基本情况、工作方法、总体结论、分项结论及满意度评价结论等。包括总体调查情况、分项指标分析评价、总体分析评价等。</w:t>
      </w:r>
    </w:p>
    <w:p w14:paraId="03BCDCA2">
      <w:pPr>
        <w:spacing w:line="360" w:lineRule="auto"/>
        <w:ind w:firstLine="643" w:firstLineChars="200"/>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（一）社会满意度调查概况</w:t>
      </w:r>
    </w:p>
    <w:p w14:paraId="37104600">
      <w:pPr>
        <w:spacing w:line="360" w:lineRule="auto"/>
        <w:ind w:firstLine="643" w:firstLineChars="200"/>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（二）社会满意度总体评价</w:t>
      </w:r>
    </w:p>
    <w:p w14:paraId="7535DC34">
      <w:pPr>
        <w:spacing w:line="360" w:lineRule="auto"/>
        <w:ind w:firstLine="643" w:firstLineChars="200"/>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（三）社会满意度分项评价</w:t>
      </w:r>
    </w:p>
    <w:p w14:paraId="18C0A33E">
      <w:pPr>
        <w:spacing w:line="360" w:lineRule="auto"/>
        <w:ind w:firstLine="643" w:firstLineChars="200"/>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（四）社会满意度结论</w:t>
      </w:r>
    </w:p>
    <w:p w14:paraId="4AFA063A">
      <w:pPr>
        <w:spacing w:line="360" w:lineRule="auto"/>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第五章 问题分析</w:t>
      </w:r>
    </w:p>
    <w:p w14:paraId="52C3DB36">
      <w:pPr>
        <w:spacing w:line="360" w:lineRule="auto"/>
        <w:ind w:firstLine="643" w:firstLineChars="200"/>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（一）省级层面差距识别</w:t>
      </w:r>
    </w:p>
    <w:p w14:paraId="004C2B4E">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通过第三章横向对比结果，分析诊断识别被体检城市与福建省其他设区市之间的差距，剖析差距产生原因。</w:t>
      </w:r>
    </w:p>
    <w:p w14:paraId="48DEFF2D">
      <w:pPr>
        <w:spacing w:line="360" w:lineRule="auto"/>
        <w:ind w:firstLine="643" w:firstLineChars="200"/>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（二）体检范围短板识别</w:t>
      </w:r>
    </w:p>
    <w:p w14:paraId="3BBFD7F0">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通过对标规范标准以及社会满意度调查结果，识别存在短板的城市建设领域，指出被体检城市建设的短板所在及其成因。</w:t>
      </w:r>
    </w:p>
    <w:p w14:paraId="3D276B3B">
      <w:pPr>
        <w:spacing w:line="360" w:lineRule="auto"/>
        <w:ind w:firstLine="643" w:firstLineChars="200"/>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（三）短板集中区域分析与识别</w:t>
      </w:r>
    </w:p>
    <w:p w14:paraId="018A0DEB">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根据多项指标的叠加分析，以图文并茂的形式识别被体检城市的短板集中区域，根据问题严重程度，形成多个重点更新地块。</w:t>
      </w:r>
    </w:p>
    <w:p w14:paraId="524136A4">
      <w:pPr>
        <w:spacing w:line="360" w:lineRule="auto"/>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第六章 对策建议</w:t>
      </w:r>
    </w:p>
    <w:p w14:paraId="5855DCC7">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根据第五章对被体检城市差距与短板的分析，针对性提出城市人居环境品质提升行动策略、城市更新行动策略。</w:t>
      </w:r>
    </w:p>
    <w:p w14:paraId="2087E7AD">
      <w:pPr>
        <w:spacing w:line="360" w:lineRule="auto"/>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第七章 附录</w:t>
      </w:r>
    </w:p>
    <w:p w14:paraId="3F6D0CFF">
      <w:pPr>
        <w:spacing w:line="360" w:lineRule="auto"/>
        <w:ind w:firstLine="640" w:firstLineChars="200"/>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t>附录内应提供第三方体检指标体系及数据源说明、第三方体检指标计算结果一览表、第三方体检与自体检指标对比一览表等内容。</w:t>
      </w:r>
    </w:p>
    <w:p w14:paraId="7E4D110F">
      <w:pPr>
        <w:widowControl/>
        <w:rPr>
          <w:rFonts w:hint="default" w:ascii="Times New Roman" w:hAnsi="Times New Roman" w:eastAsia="仿宋_GB2312" w:cs="Times New Roman"/>
          <w:iCs/>
          <w:color w:val="000000"/>
          <w:sz w:val="32"/>
          <w:szCs w:val="32"/>
        </w:rPr>
      </w:pPr>
      <w:r>
        <w:rPr>
          <w:rFonts w:hint="default" w:ascii="Times New Roman" w:hAnsi="Times New Roman" w:eastAsia="仿宋_GB2312" w:cs="Times New Roman"/>
          <w:iCs/>
          <w:color w:val="000000"/>
          <w:sz w:val="32"/>
          <w:szCs w:val="32"/>
        </w:rPr>
        <w:br w:type="page"/>
      </w:r>
    </w:p>
    <w:p w14:paraId="4EF79655">
      <w:pPr>
        <w:pStyle w:val="4"/>
        <w:rPr>
          <w:rFonts w:hint="default" w:ascii="Times New Roman" w:hAnsi="Times New Roman" w:eastAsia="方正小标宋简体" w:cs="Times New Roman"/>
          <w:b w:val="0"/>
          <w:bCs w:val="0"/>
          <w:color w:val="000000"/>
          <w:sz w:val="32"/>
          <w:szCs w:val="32"/>
        </w:rPr>
      </w:pPr>
      <w:bookmarkStart w:id="29" w:name="_Toc53958004"/>
      <w:r>
        <w:rPr>
          <w:rFonts w:hint="default" w:ascii="Times New Roman" w:hAnsi="Times New Roman" w:eastAsia="方正小标宋简体" w:cs="Times New Roman"/>
          <w:b w:val="0"/>
          <w:bCs w:val="0"/>
          <w:color w:val="000000"/>
          <w:sz w:val="32"/>
          <w:szCs w:val="32"/>
        </w:rPr>
        <w:t>附录H 社会满意度调查与评价工作手册</w:t>
      </w:r>
      <w:bookmarkEnd w:id="29"/>
    </w:p>
    <w:p w14:paraId="07DA353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社会满意度调查应包括制定调查问卷、选取调查对象、开展问卷调查、调查数据计算、分析评价、形成社会满意度调查成果等基本内容。在调查范围上，社会满意度调查应与城市体检范围保持一致；在调查方式上，社会满意度调查应综合采用线上线下相结合的方式，保证问卷调查收集数据真实有效；在问卷类型上应包括社区问卷和居民问卷两类。</w:t>
      </w:r>
    </w:p>
    <w:p w14:paraId="5359F62F">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第一章 制定调查问卷</w:t>
      </w:r>
    </w:p>
    <w:p w14:paraId="2A9ACE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（1）社会满意度调查问卷应从反映居民日常基本需求与主观诉求出发，结合城市体检指标体系的指标及目标维度设定，制定问卷问题。</w:t>
      </w:r>
    </w:p>
    <w:p w14:paraId="047357A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（2）问卷问题可根据城市体检指标内容划分不同调查主题，以漫画、图片等形式提高问题的趣味性及可理解度。题型设置上宜包含单项选择题、多项选择题和开放性提案。</w:t>
      </w:r>
    </w:p>
    <w:p w14:paraId="46C9053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（3）调查问卷应容量适当，调查对象填写问卷时间不宜超过10分钟。</w:t>
      </w:r>
    </w:p>
    <w:p w14:paraId="3BBEC60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（4）社区问卷除指标相关问题外应设置社区名称、位置、小区数量、人口户数、建设年代等基本信息的相关内容。</w:t>
      </w:r>
    </w:p>
    <w:p w14:paraId="1CC3BAA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（5）居民问卷除指标相关问题外应设置调查对象的年龄、性别、职业、收入、户籍、居住地等基本信息的相关内容。</w:t>
      </w:r>
    </w:p>
    <w:p w14:paraId="1496711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（6）体检城市可结合特色指标、城市更新任务要求及重点关注人群，设置具有针对性的调查问卷，对社会满意度调查问卷内容进行补充分析。</w:t>
      </w:r>
    </w:p>
    <w:p w14:paraId="4E8F3010">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第二章 选取调查对象</w:t>
      </w:r>
    </w:p>
    <w:p w14:paraId="6A593E6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（1）作为调查对象的居民应为城市年满16周岁以上，在本地稳定居住6个月以上的居民，不包括短期停留或旅游、务工不足半年的群体。</w:t>
      </w:r>
    </w:p>
    <w:p w14:paraId="31FC34A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（2）社会满意度调查宜应用现代信息技术，扩大调查范围。抽样调查人口结构应与城市真实人口结构接近，男女性别比例相当，年龄分布合理，覆盖不同职业、户籍和不同收入人群。</w:t>
      </w:r>
    </w:p>
    <w:p w14:paraId="755D8FD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（3）社会满意度调查涉及社区数量较多时，可对社区进行抽样调查。社区统计外的小区、村庄等可按单个社区参与抽样。</w:t>
      </w:r>
    </w:p>
    <w:p w14:paraId="15F27EB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4）社会满意度调查应根据各行政辖区常住人口、社区数量及规模，合理分配问卷数量。居民问卷的调查总数应不低于城市体检范围内常住人口总数的0.2%，社区问卷原则上应包含城市体检范围内的所有社区、村庄。</w:t>
      </w:r>
    </w:p>
    <w:p w14:paraId="472E628C">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第三章 设置调查内容</w:t>
      </w:r>
    </w:p>
    <w:p w14:paraId="6451DF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居民抽样调查问卷主体分为住宅、小区（社区）、街区、城区四个维度，围绕各自的重点维度开展居民人居环境评价（表1）。</w:t>
      </w:r>
    </w:p>
    <w:p w14:paraId="4EB83045">
      <w:pPr>
        <w:pStyle w:val="61"/>
        <w:numPr>
          <w:ilvl w:val="0"/>
          <w:numId w:val="0"/>
        </w:numPr>
        <w:spacing w:before="0" w:beforeLines="0" w:after="0" w:afterLines="0"/>
        <w:ind w:left="420" w:hanging="420"/>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表1 居民抽样问卷调查指标体系</w:t>
      </w:r>
    </w:p>
    <w:tbl>
      <w:tblPr>
        <w:tblStyle w:val="57"/>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016"/>
        <w:gridCol w:w="515"/>
        <w:gridCol w:w="2301"/>
        <w:gridCol w:w="1137"/>
        <w:gridCol w:w="1033"/>
        <w:gridCol w:w="2307"/>
      </w:tblGrid>
      <w:tr w14:paraId="752B6B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blHeader/>
          <w:jc w:val="center"/>
        </w:trPr>
        <w:tc>
          <w:tcPr>
            <w:tcW w:w="921" w:type="pct"/>
            <w:gridSpan w:val="2"/>
            <w:vAlign w:val="center"/>
          </w:tcPr>
          <w:p w14:paraId="360111E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t>维度</w:t>
            </w:r>
          </w:p>
        </w:tc>
        <w:tc>
          <w:tcPr>
            <w:tcW w:w="1384" w:type="pct"/>
            <w:vAlign w:val="center"/>
          </w:tcPr>
          <w:p w14:paraId="6FE2FB8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t>指标项</w:t>
            </w:r>
          </w:p>
        </w:tc>
        <w:tc>
          <w:tcPr>
            <w:tcW w:w="1305" w:type="pct"/>
            <w:gridSpan w:val="2"/>
            <w:vAlign w:val="center"/>
          </w:tcPr>
          <w:p w14:paraId="0FC4CE2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t>维度</w:t>
            </w:r>
          </w:p>
        </w:tc>
        <w:tc>
          <w:tcPr>
            <w:tcW w:w="1387" w:type="pct"/>
            <w:vAlign w:val="center"/>
          </w:tcPr>
          <w:p w14:paraId="7049549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t>指标项</w:t>
            </w:r>
          </w:p>
        </w:tc>
      </w:tr>
      <w:tr w14:paraId="1A5E56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7" w:hRule="atLeast"/>
          <w:jc w:val="center"/>
        </w:trPr>
        <w:tc>
          <w:tcPr>
            <w:tcW w:w="611" w:type="pct"/>
            <w:vMerge w:val="restart"/>
            <w:tcBorders>
              <w:bottom w:val="nil"/>
            </w:tcBorders>
            <w:vAlign w:val="center"/>
          </w:tcPr>
          <w:p w14:paraId="7467D6A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4"/>
                <w:sz w:val="24"/>
                <w:szCs w:val="24"/>
              </w:rPr>
            </w:pPr>
            <w:r>
              <w:rPr>
                <w:rFonts w:hint="default" w:ascii="Times New Roman" w:hAnsi="Times New Roman" w:eastAsia="仿宋_GB2312" w:cs="Times New Roman"/>
                <w:spacing w:val="-4"/>
                <w:sz w:val="24"/>
                <w:szCs w:val="24"/>
              </w:rPr>
              <w:t>住房</w:t>
            </w:r>
          </w:p>
          <w:p w14:paraId="0A5ABE2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8项</w:t>
            </w:r>
          </w:p>
        </w:tc>
        <w:tc>
          <w:tcPr>
            <w:tcW w:w="310" w:type="pct"/>
            <w:vMerge w:val="restart"/>
            <w:tcBorders>
              <w:bottom w:val="nil"/>
            </w:tcBorders>
            <w:vAlign w:val="center"/>
          </w:tcPr>
          <w:p w14:paraId="5BAA3C7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4"/>
                <w:sz w:val="24"/>
                <w:szCs w:val="24"/>
              </w:rPr>
              <w:t>安</w:t>
            </w:r>
            <w:r>
              <w:rPr>
                <w:rFonts w:hint="default" w:ascii="Times New Roman" w:hAnsi="Times New Roman" w:eastAsia="仿宋_GB2312" w:cs="Times New Roman"/>
                <w:spacing w:val="-3"/>
                <w:sz w:val="24"/>
                <w:szCs w:val="24"/>
              </w:rPr>
              <w:t>全</w:t>
            </w:r>
          </w:p>
          <w:p w14:paraId="3C12B0B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耐久</w:t>
            </w:r>
          </w:p>
        </w:tc>
        <w:tc>
          <w:tcPr>
            <w:tcW w:w="1384" w:type="pct"/>
            <w:vAlign w:val="center"/>
          </w:tcPr>
          <w:p w14:paraId="39C10F0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建</w:t>
            </w:r>
            <w:r>
              <w:rPr>
                <w:rFonts w:hint="default" w:ascii="Times New Roman" w:hAnsi="Times New Roman" w:eastAsia="仿宋_GB2312" w:cs="Times New Roman"/>
                <w:spacing w:val="-2"/>
                <w:sz w:val="24"/>
                <w:szCs w:val="24"/>
              </w:rPr>
              <w:t>筑安全</w:t>
            </w:r>
          </w:p>
        </w:tc>
        <w:tc>
          <w:tcPr>
            <w:tcW w:w="684" w:type="pct"/>
            <w:vMerge w:val="restart"/>
            <w:vAlign w:val="center"/>
          </w:tcPr>
          <w:p w14:paraId="4544260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p w14:paraId="3B40796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p w14:paraId="4277073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p w14:paraId="06071D0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p w14:paraId="03C7ED6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p w14:paraId="5A01F48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p w14:paraId="3A36FBC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p w14:paraId="60C99A7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p w14:paraId="54AE52C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p w14:paraId="113A59E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p w14:paraId="5FBA466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p w14:paraId="7ABBD27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p w14:paraId="48B5167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p w14:paraId="7774D7B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p w14:paraId="534CF5B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p w14:paraId="6657D62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p w14:paraId="4EA48AF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p w14:paraId="14B238A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p w14:paraId="3232A5F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p w14:paraId="0D6336E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城区32项</w:t>
            </w:r>
          </w:p>
        </w:tc>
        <w:tc>
          <w:tcPr>
            <w:tcW w:w="621" w:type="pct"/>
            <w:vMerge w:val="restart"/>
            <w:tcBorders>
              <w:bottom w:val="nil"/>
            </w:tcBorders>
            <w:vAlign w:val="center"/>
          </w:tcPr>
          <w:p w14:paraId="508E245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7"/>
                <w:sz w:val="24"/>
                <w:szCs w:val="24"/>
              </w:rPr>
              <w:t>生</w:t>
            </w:r>
            <w:r>
              <w:rPr>
                <w:rFonts w:hint="default" w:ascii="Times New Roman" w:hAnsi="Times New Roman" w:eastAsia="仿宋_GB2312" w:cs="Times New Roman"/>
                <w:spacing w:val="-4"/>
                <w:sz w:val="24"/>
                <w:szCs w:val="24"/>
              </w:rPr>
              <w:t>态宜居</w:t>
            </w:r>
          </w:p>
        </w:tc>
        <w:tc>
          <w:tcPr>
            <w:tcW w:w="1387" w:type="pct"/>
            <w:vAlign w:val="center"/>
          </w:tcPr>
          <w:p w14:paraId="266A805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水</w:t>
            </w:r>
            <w:r>
              <w:rPr>
                <w:rFonts w:hint="default" w:ascii="Times New Roman" w:hAnsi="Times New Roman" w:eastAsia="仿宋_GB2312" w:cs="Times New Roman"/>
                <w:spacing w:val="-2"/>
                <w:sz w:val="24"/>
                <w:szCs w:val="24"/>
              </w:rPr>
              <w:t>体污染</w:t>
            </w:r>
          </w:p>
        </w:tc>
      </w:tr>
      <w:tr w14:paraId="719843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jc w:val="center"/>
        </w:trPr>
        <w:tc>
          <w:tcPr>
            <w:tcW w:w="611" w:type="pct"/>
            <w:vMerge w:val="continue"/>
            <w:tcBorders>
              <w:top w:val="nil"/>
              <w:bottom w:val="nil"/>
            </w:tcBorders>
            <w:vAlign w:val="center"/>
          </w:tcPr>
          <w:p w14:paraId="051726E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continue"/>
            <w:tcBorders>
              <w:top w:val="nil"/>
              <w:bottom w:val="nil"/>
            </w:tcBorders>
            <w:vAlign w:val="center"/>
          </w:tcPr>
          <w:p w14:paraId="561DB37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4" w:type="pct"/>
            <w:vAlign w:val="center"/>
          </w:tcPr>
          <w:p w14:paraId="13B7F45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燃</w:t>
            </w:r>
            <w:r>
              <w:rPr>
                <w:rFonts w:hint="default" w:ascii="Times New Roman" w:hAnsi="Times New Roman" w:eastAsia="仿宋_GB2312" w:cs="Times New Roman"/>
                <w:spacing w:val="-2"/>
                <w:sz w:val="24"/>
                <w:szCs w:val="24"/>
              </w:rPr>
              <w:t>气安全</w:t>
            </w:r>
          </w:p>
        </w:tc>
        <w:tc>
          <w:tcPr>
            <w:tcW w:w="684" w:type="pct"/>
            <w:vMerge w:val="continue"/>
            <w:vAlign w:val="center"/>
          </w:tcPr>
          <w:p w14:paraId="45F79A1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continue"/>
            <w:tcBorders>
              <w:top w:val="nil"/>
              <w:bottom w:val="nil"/>
            </w:tcBorders>
            <w:vAlign w:val="center"/>
          </w:tcPr>
          <w:p w14:paraId="47E582C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7" w:type="pct"/>
            <w:vAlign w:val="center"/>
          </w:tcPr>
          <w:p w14:paraId="41FCBA8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6"/>
                <w:sz w:val="24"/>
                <w:szCs w:val="24"/>
              </w:rPr>
              <w:t>空</w:t>
            </w:r>
            <w:r>
              <w:rPr>
                <w:rFonts w:hint="default" w:ascii="Times New Roman" w:hAnsi="Times New Roman" w:eastAsia="仿宋_GB2312" w:cs="Times New Roman"/>
                <w:spacing w:val="-4"/>
                <w:sz w:val="24"/>
                <w:szCs w:val="24"/>
              </w:rPr>
              <w:t>气污染</w:t>
            </w:r>
          </w:p>
        </w:tc>
      </w:tr>
      <w:tr w14:paraId="25202C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jc w:val="center"/>
        </w:trPr>
        <w:tc>
          <w:tcPr>
            <w:tcW w:w="611" w:type="pct"/>
            <w:vMerge w:val="continue"/>
            <w:tcBorders>
              <w:top w:val="nil"/>
              <w:bottom w:val="nil"/>
            </w:tcBorders>
            <w:vAlign w:val="center"/>
          </w:tcPr>
          <w:p w14:paraId="2E275A8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continue"/>
            <w:tcBorders>
              <w:top w:val="nil"/>
            </w:tcBorders>
            <w:vAlign w:val="center"/>
          </w:tcPr>
          <w:p w14:paraId="3E81AA4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4" w:type="pct"/>
            <w:vAlign w:val="center"/>
          </w:tcPr>
          <w:p w14:paraId="53BBE6D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楼</w:t>
            </w:r>
            <w:r>
              <w:rPr>
                <w:rFonts w:hint="default" w:ascii="Times New Roman" w:hAnsi="Times New Roman" w:eastAsia="仿宋_GB2312" w:cs="Times New Roman"/>
                <w:spacing w:val="-2"/>
                <w:sz w:val="24"/>
                <w:szCs w:val="24"/>
              </w:rPr>
              <w:t>道安全</w:t>
            </w:r>
          </w:p>
        </w:tc>
        <w:tc>
          <w:tcPr>
            <w:tcW w:w="684" w:type="pct"/>
            <w:vMerge w:val="continue"/>
            <w:vAlign w:val="center"/>
          </w:tcPr>
          <w:p w14:paraId="6582B61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continue"/>
            <w:tcBorders>
              <w:top w:val="nil"/>
              <w:bottom w:val="nil"/>
            </w:tcBorders>
            <w:vAlign w:val="center"/>
          </w:tcPr>
          <w:p w14:paraId="5FE8BFA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7" w:type="pct"/>
            <w:vAlign w:val="center"/>
          </w:tcPr>
          <w:p w14:paraId="5BE3696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绿道</w:t>
            </w:r>
            <w:r>
              <w:rPr>
                <w:rFonts w:hint="default" w:ascii="Times New Roman" w:hAnsi="Times New Roman" w:eastAsia="仿宋_GB2312" w:cs="Times New Roman"/>
                <w:spacing w:val="-2"/>
                <w:sz w:val="24"/>
                <w:szCs w:val="24"/>
              </w:rPr>
              <w:t>建设</w:t>
            </w:r>
          </w:p>
        </w:tc>
      </w:tr>
      <w:tr w14:paraId="3C1F6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jc w:val="center"/>
        </w:trPr>
        <w:tc>
          <w:tcPr>
            <w:tcW w:w="611" w:type="pct"/>
            <w:vMerge w:val="continue"/>
            <w:tcBorders>
              <w:top w:val="nil"/>
              <w:bottom w:val="nil"/>
            </w:tcBorders>
            <w:vAlign w:val="center"/>
          </w:tcPr>
          <w:p w14:paraId="4B5808D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restart"/>
            <w:tcBorders>
              <w:bottom w:val="nil"/>
            </w:tcBorders>
            <w:vAlign w:val="center"/>
          </w:tcPr>
          <w:p w14:paraId="3ACF0F5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功能</w:t>
            </w:r>
          </w:p>
          <w:p w14:paraId="41B7DF8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完备</w:t>
            </w:r>
          </w:p>
        </w:tc>
        <w:tc>
          <w:tcPr>
            <w:tcW w:w="1384" w:type="pct"/>
            <w:vAlign w:val="center"/>
          </w:tcPr>
          <w:p w14:paraId="6FB1D5E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住</w:t>
            </w:r>
            <w:r>
              <w:rPr>
                <w:rFonts w:hint="default" w:ascii="Times New Roman" w:hAnsi="Times New Roman" w:eastAsia="仿宋_GB2312" w:cs="Times New Roman"/>
                <w:spacing w:val="-2"/>
                <w:sz w:val="24"/>
                <w:szCs w:val="24"/>
              </w:rPr>
              <w:t>宅性能</w:t>
            </w:r>
          </w:p>
        </w:tc>
        <w:tc>
          <w:tcPr>
            <w:tcW w:w="684" w:type="pct"/>
            <w:vMerge w:val="continue"/>
            <w:vAlign w:val="center"/>
          </w:tcPr>
          <w:p w14:paraId="27280D2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continue"/>
            <w:tcBorders>
              <w:top w:val="nil"/>
              <w:bottom w:val="nil"/>
            </w:tcBorders>
            <w:vAlign w:val="center"/>
          </w:tcPr>
          <w:p w14:paraId="7BB9DCE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7" w:type="pct"/>
            <w:vAlign w:val="center"/>
          </w:tcPr>
          <w:p w14:paraId="5A33C6A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体</w:t>
            </w:r>
            <w:r>
              <w:rPr>
                <w:rFonts w:hint="default" w:ascii="Times New Roman" w:hAnsi="Times New Roman" w:eastAsia="仿宋_GB2312" w:cs="Times New Roman"/>
                <w:spacing w:val="-2"/>
                <w:sz w:val="24"/>
                <w:szCs w:val="24"/>
              </w:rPr>
              <w:t>育场地</w:t>
            </w:r>
          </w:p>
        </w:tc>
      </w:tr>
      <w:tr w14:paraId="562F2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jc w:val="center"/>
        </w:trPr>
        <w:tc>
          <w:tcPr>
            <w:tcW w:w="611" w:type="pct"/>
            <w:vMerge w:val="continue"/>
            <w:tcBorders>
              <w:top w:val="nil"/>
              <w:bottom w:val="nil"/>
            </w:tcBorders>
            <w:vAlign w:val="center"/>
          </w:tcPr>
          <w:p w14:paraId="48C8AE4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continue"/>
            <w:tcBorders>
              <w:top w:val="nil"/>
              <w:bottom w:val="nil"/>
            </w:tcBorders>
            <w:vAlign w:val="center"/>
          </w:tcPr>
          <w:p w14:paraId="040FBDD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4" w:type="pct"/>
            <w:vAlign w:val="center"/>
          </w:tcPr>
          <w:p w14:paraId="054141B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6"/>
                <w:sz w:val="24"/>
                <w:szCs w:val="24"/>
              </w:rPr>
              <w:t>管</w:t>
            </w:r>
            <w:r>
              <w:rPr>
                <w:rFonts w:hint="default" w:ascii="Times New Roman" w:hAnsi="Times New Roman" w:eastAsia="仿宋_GB2312" w:cs="Times New Roman"/>
                <w:spacing w:val="-4"/>
                <w:sz w:val="24"/>
                <w:szCs w:val="24"/>
              </w:rPr>
              <w:t>线管道</w:t>
            </w:r>
          </w:p>
        </w:tc>
        <w:tc>
          <w:tcPr>
            <w:tcW w:w="684" w:type="pct"/>
            <w:vMerge w:val="continue"/>
            <w:vAlign w:val="center"/>
          </w:tcPr>
          <w:p w14:paraId="36B9418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continue"/>
            <w:tcBorders>
              <w:top w:val="nil"/>
              <w:bottom w:val="nil"/>
            </w:tcBorders>
            <w:vAlign w:val="center"/>
          </w:tcPr>
          <w:p w14:paraId="5CD4E73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7" w:type="pct"/>
            <w:vAlign w:val="center"/>
          </w:tcPr>
          <w:p w14:paraId="297FA17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公共</w:t>
            </w:r>
            <w:r>
              <w:rPr>
                <w:rFonts w:hint="default" w:ascii="Times New Roman" w:hAnsi="Times New Roman" w:eastAsia="仿宋_GB2312" w:cs="Times New Roman"/>
                <w:spacing w:val="-3"/>
                <w:sz w:val="24"/>
                <w:szCs w:val="24"/>
              </w:rPr>
              <w:t>文</w:t>
            </w:r>
            <w:r>
              <w:rPr>
                <w:rFonts w:hint="default" w:ascii="Times New Roman" w:hAnsi="Times New Roman" w:eastAsia="仿宋_GB2312" w:cs="Times New Roman"/>
                <w:spacing w:val="-2"/>
                <w:sz w:val="24"/>
                <w:szCs w:val="24"/>
              </w:rPr>
              <w:t>化设施</w:t>
            </w:r>
          </w:p>
        </w:tc>
      </w:tr>
      <w:tr w14:paraId="2F6818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jc w:val="center"/>
        </w:trPr>
        <w:tc>
          <w:tcPr>
            <w:tcW w:w="611" w:type="pct"/>
            <w:vMerge w:val="continue"/>
            <w:tcBorders>
              <w:top w:val="nil"/>
              <w:bottom w:val="nil"/>
            </w:tcBorders>
            <w:vAlign w:val="center"/>
          </w:tcPr>
          <w:p w14:paraId="3F07946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continue"/>
            <w:tcBorders>
              <w:top w:val="nil"/>
            </w:tcBorders>
            <w:vAlign w:val="center"/>
          </w:tcPr>
          <w:p w14:paraId="5EE97F3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4" w:type="pct"/>
            <w:vAlign w:val="center"/>
          </w:tcPr>
          <w:p w14:paraId="7259BD3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适</w:t>
            </w:r>
            <w:r>
              <w:rPr>
                <w:rFonts w:hint="default" w:ascii="Times New Roman" w:hAnsi="Times New Roman" w:eastAsia="仿宋_GB2312" w:cs="Times New Roman"/>
                <w:spacing w:val="-2"/>
                <w:sz w:val="24"/>
                <w:szCs w:val="24"/>
              </w:rPr>
              <w:t>老改造</w:t>
            </w:r>
          </w:p>
        </w:tc>
        <w:tc>
          <w:tcPr>
            <w:tcW w:w="684" w:type="pct"/>
            <w:vMerge w:val="continue"/>
            <w:vAlign w:val="center"/>
          </w:tcPr>
          <w:p w14:paraId="319E140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continue"/>
            <w:tcBorders>
              <w:top w:val="nil"/>
              <w:bottom w:val="nil"/>
            </w:tcBorders>
            <w:vAlign w:val="center"/>
          </w:tcPr>
          <w:p w14:paraId="3AD73C3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7" w:type="pct"/>
            <w:vAlign w:val="center"/>
          </w:tcPr>
          <w:p w14:paraId="19597A0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老龄</w:t>
            </w:r>
            <w:r>
              <w:rPr>
                <w:rFonts w:hint="default" w:ascii="Times New Roman" w:hAnsi="Times New Roman" w:eastAsia="仿宋_GB2312" w:cs="Times New Roman"/>
                <w:spacing w:val="-2"/>
                <w:sz w:val="24"/>
                <w:szCs w:val="24"/>
              </w:rPr>
              <w:t>友好性</w:t>
            </w:r>
          </w:p>
        </w:tc>
      </w:tr>
      <w:tr w14:paraId="4AE46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7" w:hRule="atLeast"/>
          <w:jc w:val="center"/>
        </w:trPr>
        <w:tc>
          <w:tcPr>
            <w:tcW w:w="611" w:type="pct"/>
            <w:vMerge w:val="continue"/>
            <w:tcBorders>
              <w:top w:val="nil"/>
              <w:bottom w:val="nil"/>
            </w:tcBorders>
            <w:vAlign w:val="center"/>
          </w:tcPr>
          <w:p w14:paraId="7BA30A8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restart"/>
            <w:tcBorders>
              <w:bottom w:val="nil"/>
            </w:tcBorders>
            <w:vAlign w:val="center"/>
          </w:tcPr>
          <w:p w14:paraId="5F18C1E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4"/>
                <w:sz w:val="24"/>
                <w:szCs w:val="24"/>
              </w:rPr>
            </w:pPr>
            <w:r>
              <w:rPr>
                <w:rFonts w:hint="default" w:ascii="Times New Roman" w:hAnsi="Times New Roman" w:eastAsia="仿宋_GB2312" w:cs="Times New Roman"/>
                <w:spacing w:val="-4"/>
                <w:sz w:val="24"/>
                <w:szCs w:val="24"/>
              </w:rPr>
              <w:t>绿色</w:t>
            </w:r>
          </w:p>
          <w:p w14:paraId="7B81BA5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智能</w:t>
            </w:r>
          </w:p>
        </w:tc>
        <w:tc>
          <w:tcPr>
            <w:tcW w:w="1384" w:type="pct"/>
            <w:vAlign w:val="center"/>
          </w:tcPr>
          <w:p w14:paraId="4F64B67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节</w:t>
            </w:r>
            <w:r>
              <w:rPr>
                <w:rFonts w:hint="default" w:ascii="Times New Roman" w:hAnsi="Times New Roman" w:eastAsia="仿宋_GB2312" w:cs="Times New Roman"/>
                <w:spacing w:val="-3"/>
                <w:sz w:val="24"/>
                <w:szCs w:val="24"/>
              </w:rPr>
              <w:t>能改造</w:t>
            </w:r>
          </w:p>
        </w:tc>
        <w:tc>
          <w:tcPr>
            <w:tcW w:w="684" w:type="pct"/>
            <w:vMerge w:val="continue"/>
            <w:vAlign w:val="center"/>
          </w:tcPr>
          <w:p w14:paraId="2F60312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continue"/>
            <w:tcBorders>
              <w:top w:val="nil"/>
              <w:bottom w:val="nil"/>
            </w:tcBorders>
            <w:vAlign w:val="center"/>
          </w:tcPr>
          <w:p w14:paraId="2DA06D1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7" w:type="pct"/>
            <w:vAlign w:val="center"/>
          </w:tcPr>
          <w:p w14:paraId="2858162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儿童友好性</w:t>
            </w:r>
          </w:p>
        </w:tc>
      </w:tr>
      <w:tr w14:paraId="1D0A9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jc w:val="center"/>
        </w:trPr>
        <w:tc>
          <w:tcPr>
            <w:tcW w:w="611" w:type="pct"/>
            <w:vMerge w:val="continue"/>
            <w:tcBorders>
              <w:top w:val="nil"/>
            </w:tcBorders>
            <w:vAlign w:val="center"/>
          </w:tcPr>
          <w:p w14:paraId="72F8A1A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continue"/>
            <w:tcBorders>
              <w:top w:val="nil"/>
            </w:tcBorders>
            <w:vAlign w:val="center"/>
          </w:tcPr>
          <w:p w14:paraId="230EBF4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4" w:type="pct"/>
            <w:vAlign w:val="center"/>
          </w:tcPr>
          <w:p w14:paraId="6B2952F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数</w:t>
            </w:r>
            <w:r>
              <w:rPr>
                <w:rFonts w:hint="default" w:ascii="Times New Roman" w:hAnsi="Times New Roman" w:eastAsia="仿宋_GB2312" w:cs="Times New Roman"/>
                <w:spacing w:val="-2"/>
                <w:sz w:val="24"/>
                <w:szCs w:val="24"/>
              </w:rPr>
              <w:t>字家庭</w:t>
            </w:r>
          </w:p>
        </w:tc>
        <w:tc>
          <w:tcPr>
            <w:tcW w:w="684" w:type="pct"/>
            <w:vMerge w:val="continue"/>
            <w:vAlign w:val="center"/>
          </w:tcPr>
          <w:p w14:paraId="7C1AAB2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continue"/>
            <w:tcBorders>
              <w:top w:val="nil"/>
            </w:tcBorders>
            <w:vAlign w:val="center"/>
          </w:tcPr>
          <w:p w14:paraId="69CF58B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7" w:type="pct"/>
            <w:vAlign w:val="center"/>
          </w:tcPr>
          <w:p w14:paraId="4479EB0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道</w:t>
            </w:r>
            <w:r>
              <w:rPr>
                <w:rFonts w:hint="default" w:ascii="Times New Roman" w:hAnsi="Times New Roman" w:eastAsia="仿宋_GB2312" w:cs="Times New Roman"/>
                <w:spacing w:val="-2"/>
                <w:sz w:val="24"/>
                <w:szCs w:val="24"/>
              </w:rPr>
              <w:t>路维护</w:t>
            </w:r>
          </w:p>
        </w:tc>
      </w:tr>
      <w:tr w14:paraId="0189AD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jc w:val="center"/>
        </w:trPr>
        <w:tc>
          <w:tcPr>
            <w:tcW w:w="611" w:type="pct"/>
            <w:vMerge w:val="restart"/>
            <w:vAlign w:val="center"/>
          </w:tcPr>
          <w:p w14:paraId="167AB68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4"/>
                <w:sz w:val="24"/>
                <w:szCs w:val="24"/>
              </w:rPr>
            </w:pPr>
            <w:r>
              <w:rPr>
                <w:rFonts w:hint="default" w:ascii="Times New Roman" w:hAnsi="Times New Roman" w:eastAsia="仿宋_GB2312" w:cs="Times New Roman"/>
                <w:spacing w:val="-4"/>
                <w:sz w:val="24"/>
                <w:szCs w:val="24"/>
              </w:rPr>
              <w:t>小区</w:t>
            </w:r>
          </w:p>
          <w:p w14:paraId="31561AC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4"/>
                <w:sz w:val="24"/>
                <w:szCs w:val="24"/>
              </w:rPr>
            </w:pPr>
            <w:r>
              <w:rPr>
                <w:rFonts w:hint="default" w:ascii="Times New Roman" w:hAnsi="Times New Roman" w:eastAsia="仿宋_GB2312" w:cs="Times New Roman"/>
                <w:spacing w:val="-4"/>
                <w:sz w:val="24"/>
                <w:szCs w:val="24"/>
              </w:rPr>
              <w:t>（社区）</w:t>
            </w:r>
          </w:p>
          <w:p w14:paraId="4703C26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13项</w:t>
            </w:r>
          </w:p>
        </w:tc>
        <w:tc>
          <w:tcPr>
            <w:tcW w:w="310" w:type="pct"/>
            <w:vMerge w:val="restart"/>
            <w:tcBorders>
              <w:bottom w:val="nil"/>
            </w:tcBorders>
            <w:vAlign w:val="center"/>
          </w:tcPr>
          <w:p w14:paraId="68CB022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2"/>
                <w:sz w:val="24"/>
                <w:szCs w:val="24"/>
              </w:rPr>
            </w:pPr>
            <w:r>
              <w:rPr>
                <w:rFonts w:hint="default" w:ascii="Times New Roman" w:hAnsi="Times New Roman" w:eastAsia="仿宋_GB2312" w:cs="Times New Roman"/>
                <w:spacing w:val="-3"/>
                <w:sz w:val="24"/>
                <w:szCs w:val="24"/>
              </w:rPr>
              <w:t>设</w:t>
            </w:r>
            <w:r>
              <w:rPr>
                <w:rFonts w:hint="default" w:ascii="Times New Roman" w:hAnsi="Times New Roman" w:eastAsia="仿宋_GB2312" w:cs="Times New Roman"/>
                <w:spacing w:val="-2"/>
                <w:sz w:val="24"/>
                <w:szCs w:val="24"/>
              </w:rPr>
              <w:t>施</w:t>
            </w:r>
          </w:p>
          <w:p w14:paraId="15B3BAF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完善</w:t>
            </w:r>
          </w:p>
        </w:tc>
        <w:tc>
          <w:tcPr>
            <w:tcW w:w="1384" w:type="pct"/>
            <w:vAlign w:val="center"/>
          </w:tcPr>
          <w:p w14:paraId="6FA544D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养老服务设施</w:t>
            </w:r>
          </w:p>
        </w:tc>
        <w:tc>
          <w:tcPr>
            <w:tcW w:w="684" w:type="pct"/>
            <w:vMerge w:val="continue"/>
            <w:vAlign w:val="center"/>
          </w:tcPr>
          <w:p w14:paraId="0173902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restart"/>
            <w:tcBorders>
              <w:bottom w:val="nil"/>
            </w:tcBorders>
            <w:vAlign w:val="center"/>
          </w:tcPr>
          <w:p w14:paraId="42BB24C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历史文化</w:t>
            </w:r>
          </w:p>
          <w:p w14:paraId="0B93164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保护利用</w:t>
            </w:r>
          </w:p>
        </w:tc>
        <w:tc>
          <w:tcPr>
            <w:tcW w:w="1387" w:type="pct"/>
            <w:vAlign w:val="center"/>
          </w:tcPr>
          <w:p w14:paraId="6C5B84C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历史文化街区</w:t>
            </w:r>
            <w:r>
              <w:rPr>
                <w:rFonts w:hint="default" w:ascii="Times New Roman" w:hAnsi="Times New Roman" w:eastAsia="仿宋_GB2312" w:cs="Times New Roman"/>
                <w:spacing w:val="-1"/>
                <w:sz w:val="24"/>
                <w:szCs w:val="24"/>
              </w:rPr>
              <w:t>保护</w:t>
            </w:r>
          </w:p>
        </w:tc>
      </w:tr>
      <w:tr w14:paraId="692636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jc w:val="center"/>
        </w:trPr>
        <w:tc>
          <w:tcPr>
            <w:tcW w:w="611" w:type="pct"/>
            <w:vMerge w:val="continue"/>
            <w:vAlign w:val="center"/>
          </w:tcPr>
          <w:p w14:paraId="45FC9BA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continue"/>
            <w:tcBorders>
              <w:top w:val="nil"/>
              <w:bottom w:val="nil"/>
            </w:tcBorders>
            <w:vAlign w:val="center"/>
          </w:tcPr>
          <w:p w14:paraId="3697373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4" w:type="pct"/>
            <w:vAlign w:val="center"/>
          </w:tcPr>
          <w:p w14:paraId="4CD702E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婴幼儿照护服务</w:t>
            </w:r>
            <w:r>
              <w:rPr>
                <w:rFonts w:hint="default" w:ascii="Times New Roman" w:hAnsi="Times New Roman" w:eastAsia="仿宋_GB2312" w:cs="Times New Roman"/>
                <w:spacing w:val="-1"/>
                <w:sz w:val="24"/>
                <w:szCs w:val="24"/>
              </w:rPr>
              <w:t>设施</w:t>
            </w:r>
          </w:p>
        </w:tc>
        <w:tc>
          <w:tcPr>
            <w:tcW w:w="684" w:type="pct"/>
            <w:vMerge w:val="continue"/>
            <w:vAlign w:val="center"/>
          </w:tcPr>
          <w:p w14:paraId="5AFDC4B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continue"/>
            <w:tcBorders>
              <w:top w:val="nil"/>
              <w:bottom w:val="nil"/>
            </w:tcBorders>
            <w:vAlign w:val="center"/>
          </w:tcPr>
          <w:p w14:paraId="06B6D5C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7" w:type="pct"/>
            <w:vAlign w:val="center"/>
          </w:tcPr>
          <w:p w14:paraId="3304988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历史建筑修</w:t>
            </w:r>
            <w:r>
              <w:rPr>
                <w:rFonts w:hint="default" w:ascii="Times New Roman" w:hAnsi="Times New Roman" w:eastAsia="仿宋_GB2312" w:cs="Times New Roman"/>
                <w:spacing w:val="-1"/>
                <w:sz w:val="24"/>
                <w:szCs w:val="24"/>
              </w:rPr>
              <w:t>复与利用</w:t>
            </w:r>
          </w:p>
        </w:tc>
      </w:tr>
      <w:tr w14:paraId="29FF1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jc w:val="center"/>
        </w:trPr>
        <w:tc>
          <w:tcPr>
            <w:tcW w:w="611" w:type="pct"/>
            <w:vMerge w:val="continue"/>
            <w:vAlign w:val="center"/>
          </w:tcPr>
          <w:p w14:paraId="3777B8B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continue"/>
            <w:tcBorders>
              <w:top w:val="nil"/>
              <w:bottom w:val="nil"/>
            </w:tcBorders>
            <w:vAlign w:val="center"/>
          </w:tcPr>
          <w:p w14:paraId="07523F6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4" w:type="pct"/>
            <w:vAlign w:val="center"/>
          </w:tcPr>
          <w:p w14:paraId="10BF633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6"/>
                <w:sz w:val="24"/>
                <w:szCs w:val="24"/>
              </w:rPr>
              <w:t>幼</w:t>
            </w:r>
            <w:r>
              <w:rPr>
                <w:rFonts w:hint="default" w:ascii="Times New Roman" w:hAnsi="Times New Roman" w:eastAsia="仿宋_GB2312" w:cs="Times New Roman"/>
                <w:spacing w:val="-4"/>
                <w:sz w:val="24"/>
                <w:szCs w:val="24"/>
              </w:rPr>
              <w:t>儿园</w:t>
            </w:r>
          </w:p>
        </w:tc>
        <w:tc>
          <w:tcPr>
            <w:tcW w:w="684" w:type="pct"/>
            <w:vMerge w:val="continue"/>
            <w:vAlign w:val="center"/>
          </w:tcPr>
          <w:p w14:paraId="4C3C90F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continue"/>
            <w:tcBorders>
              <w:top w:val="nil"/>
              <w:bottom w:val="nil"/>
            </w:tcBorders>
            <w:vAlign w:val="center"/>
          </w:tcPr>
          <w:p w14:paraId="7465400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7" w:type="pct"/>
            <w:vAlign w:val="center"/>
          </w:tcPr>
          <w:p w14:paraId="1006801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非</w:t>
            </w:r>
            <w:r>
              <w:rPr>
                <w:rFonts w:hint="default" w:ascii="Times New Roman" w:hAnsi="Times New Roman" w:eastAsia="仿宋_GB2312" w:cs="Times New Roman"/>
                <w:spacing w:val="-2"/>
                <w:sz w:val="24"/>
                <w:szCs w:val="24"/>
              </w:rPr>
              <w:t>物质文化遗产保护</w:t>
            </w:r>
          </w:p>
        </w:tc>
      </w:tr>
      <w:tr w14:paraId="4018AF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jc w:val="center"/>
        </w:trPr>
        <w:tc>
          <w:tcPr>
            <w:tcW w:w="611" w:type="pct"/>
            <w:vMerge w:val="continue"/>
            <w:vAlign w:val="center"/>
          </w:tcPr>
          <w:p w14:paraId="1C01A4A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continue"/>
            <w:tcBorders>
              <w:top w:val="nil"/>
              <w:bottom w:val="nil"/>
            </w:tcBorders>
            <w:vAlign w:val="center"/>
          </w:tcPr>
          <w:p w14:paraId="138E72C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4" w:type="pct"/>
            <w:vAlign w:val="center"/>
          </w:tcPr>
          <w:p w14:paraId="5FD1DD0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小</w:t>
            </w:r>
            <w:r>
              <w:rPr>
                <w:rFonts w:hint="default" w:ascii="Times New Roman" w:hAnsi="Times New Roman" w:eastAsia="仿宋_GB2312" w:cs="Times New Roman"/>
                <w:spacing w:val="-3"/>
                <w:sz w:val="24"/>
                <w:szCs w:val="24"/>
              </w:rPr>
              <w:t>学</w:t>
            </w:r>
          </w:p>
        </w:tc>
        <w:tc>
          <w:tcPr>
            <w:tcW w:w="684" w:type="pct"/>
            <w:vMerge w:val="continue"/>
            <w:vAlign w:val="center"/>
          </w:tcPr>
          <w:p w14:paraId="7DCDEE7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continue"/>
            <w:tcBorders>
              <w:top w:val="nil"/>
              <w:bottom w:val="nil"/>
            </w:tcBorders>
            <w:vAlign w:val="center"/>
          </w:tcPr>
          <w:p w14:paraId="4885311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7" w:type="pct"/>
            <w:vAlign w:val="center"/>
          </w:tcPr>
          <w:p w14:paraId="760A05A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传</w:t>
            </w:r>
            <w:r>
              <w:rPr>
                <w:rFonts w:hint="default" w:ascii="Times New Roman" w:hAnsi="Times New Roman" w:eastAsia="仿宋_GB2312" w:cs="Times New Roman"/>
                <w:spacing w:val="-3"/>
                <w:sz w:val="24"/>
                <w:szCs w:val="24"/>
              </w:rPr>
              <w:t>统</w:t>
            </w:r>
            <w:r>
              <w:rPr>
                <w:rFonts w:hint="default" w:ascii="Times New Roman" w:hAnsi="Times New Roman" w:eastAsia="仿宋_GB2312" w:cs="Times New Roman"/>
                <w:spacing w:val="-2"/>
                <w:sz w:val="24"/>
                <w:szCs w:val="24"/>
              </w:rPr>
              <w:t>风貌特色</w:t>
            </w:r>
          </w:p>
        </w:tc>
      </w:tr>
      <w:tr w14:paraId="00C02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611" w:type="pct"/>
            <w:vMerge w:val="continue"/>
            <w:vAlign w:val="center"/>
          </w:tcPr>
          <w:p w14:paraId="769E2BF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continue"/>
            <w:tcBorders>
              <w:top w:val="nil"/>
              <w:bottom w:val="nil"/>
            </w:tcBorders>
            <w:vAlign w:val="center"/>
          </w:tcPr>
          <w:p w14:paraId="706ACEC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4" w:type="pct"/>
            <w:vAlign w:val="center"/>
          </w:tcPr>
          <w:p w14:paraId="1B2E97D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社区卫生</w:t>
            </w:r>
            <w:r>
              <w:rPr>
                <w:rFonts w:hint="default" w:ascii="Times New Roman" w:hAnsi="Times New Roman" w:eastAsia="仿宋_GB2312" w:cs="Times New Roman"/>
                <w:spacing w:val="-1"/>
                <w:sz w:val="24"/>
                <w:szCs w:val="24"/>
              </w:rPr>
              <w:t>服务中心</w:t>
            </w:r>
          </w:p>
        </w:tc>
        <w:tc>
          <w:tcPr>
            <w:tcW w:w="684" w:type="pct"/>
            <w:vMerge w:val="continue"/>
            <w:vAlign w:val="center"/>
          </w:tcPr>
          <w:p w14:paraId="2D2B667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continue"/>
            <w:tcBorders>
              <w:top w:val="nil"/>
            </w:tcBorders>
            <w:vAlign w:val="center"/>
          </w:tcPr>
          <w:p w14:paraId="4E3092E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7" w:type="pct"/>
            <w:vAlign w:val="center"/>
          </w:tcPr>
          <w:p w14:paraId="221C947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传</w:t>
            </w:r>
            <w:r>
              <w:rPr>
                <w:rFonts w:hint="default" w:ascii="Times New Roman" w:hAnsi="Times New Roman" w:eastAsia="仿宋_GB2312" w:cs="Times New Roman"/>
                <w:spacing w:val="-3"/>
                <w:sz w:val="24"/>
                <w:szCs w:val="24"/>
              </w:rPr>
              <w:t>统</w:t>
            </w:r>
            <w:r>
              <w:rPr>
                <w:rFonts w:hint="default" w:ascii="Times New Roman" w:hAnsi="Times New Roman" w:eastAsia="仿宋_GB2312" w:cs="Times New Roman"/>
                <w:spacing w:val="-2"/>
                <w:sz w:val="24"/>
                <w:szCs w:val="24"/>
              </w:rPr>
              <w:t>文化活动</w:t>
            </w:r>
          </w:p>
        </w:tc>
      </w:tr>
      <w:tr w14:paraId="13DC4D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jc w:val="center"/>
        </w:trPr>
        <w:tc>
          <w:tcPr>
            <w:tcW w:w="611" w:type="pct"/>
            <w:vMerge w:val="continue"/>
            <w:vAlign w:val="center"/>
          </w:tcPr>
          <w:p w14:paraId="4CB2441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continue"/>
            <w:tcBorders>
              <w:top w:val="nil"/>
              <w:bottom w:val="nil"/>
            </w:tcBorders>
            <w:vAlign w:val="center"/>
          </w:tcPr>
          <w:p w14:paraId="216A16F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4" w:type="pct"/>
            <w:vAlign w:val="center"/>
          </w:tcPr>
          <w:p w14:paraId="4301C52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7"/>
                <w:sz w:val="24"/>
                <w:szCs w:val="24"/>
              </w:rPr>
              <w:t>生</w:t>
            </w:r>
            <w:r>
              <w:rPr>
                <w:rFonts w:hint="default" w:ascii="Times New Roman" w:hAnsi="Times New Roman" w:eastAsia="仿宋_GB2312" w:cs="Times New Roman"/>
                <w:spacing w:val="-4"/>
                <w:sz w:val="24"/>
                <w:szCs w:val="24"/>
              </w:rPr>
              <w:t>活服务</w:t>
            </w:r>
          </w:p>
        </w:tc>
        <w:tc>
          <w:tcPr>
            <w:tcW w:w="684" w:type="pct"/>
            <w:vMerge w:val="continue"/>
            <w:vAlign w:val="center"/>
          </w:tcPr>
          <w:p w14:paraId="290D9F9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restart"/>
            <w:vAlign w:val="center"/>
          </w:tcPr>
          <w:p w14:paraId="7C9078E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产城融合</w:t>
            </w:r>
          </w:p>
          <w:p w14:paraId="186B00B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职住</w:t>
            </w:r>
            <w:r>
              <w:rPr>
                <w:rFonts w:hint="default" w:ascii="Times New Roman" w:hAnsi="Times New Roman" w:eastAsia="仿宋_GB2312" w:cs="Times New Roman"/>
                <w:spacing w:val="-4"/>
                <w:sz w:val="24"/>
                <w:szCs w:val="24"/>
              </w:rPr>
              <w:t>平</w:t>
            </w:r>
            <w:r>
              <w:rPr>
                <w:rFonts w:hint="default" w:ascii="Times New Roman" w:hAnsi="Times New Roman" w:eastAsia="仿宋_GB2312" w:cs="Times New Roman"/>
                <w:spacing w:val="-3"/>
                <w:sz w:val="24"/>
                <w:szCs w:val="24"/>
              </w:rPr>
              <w:t>衡</w:t>
            </w:r>
          </w:p>
        </w:tc>
        <w:tc>
          <w:tcPr>
            <w:tcW w:w="1387" w:type="pct"/>
            <w:vAlign w:val="center"/>
          </w:tcPr>
          <w:p w14:paraId="3940829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职住平衡</w:t>
            </w:r>
            <w:r>
              <w:rPr>
                <w:rFonts w:hint="default" w:ascii="Times New Roman" w:hAnsi="Times New Roman" w:eastAsia="仿宋_GB2312" w:cs="Times New Roman"/>
                <w:spacing w:val="-1"/>
                <w:sz w:val="24"/>
                <w:szCs w:val="24"/>
              </w:rPr>
              <w:t>/通勤</w:t>
            </w:r>
          </w:p>
        </w:tc>
      </w:tr>
      <w:tr w14:paraId="70A7D5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jc w:val="center"/>
        </w:trPr>
        <w:tc>
          <w:tcPr>
            <w:tcW w:w="611" w:type="pct"/>
            <w:vMerge w:val="continue"/>
            <w:vAlign w:val="center"/>
          </w:tcPr>
          <w:p w14:paraId="68EBB98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continue"/>
            <w:tcBorders>
              <w:top w:val="nil"/>
              <w:bottom w:val="nil"/>
            </w:tcBorders>
            <w:vAlign w:val="center"/>
          </w:tcPr>
          <w:p w14:paraId="4A85EFE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4" w:type="pct"/>
            <w:vAlign w:val="center"/>
          </w:tcPr>
          <w:p w14:paraId="19930DE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停</w:t>
            </w:r>
            <w:r>
              <w:rPr>
                <w:rFonts w:hint="default" w:ascii="Times New Roman" w:hAnsi="Times New Roman" w:eastAsia="仿宋_GB2312" w:cs="Times New Roman"/>
                <w:spacing w:val="-2"/>
                <w:sz w:val="24"/>
                <w:szCs w:val="24"/>
              </w:rPr>
              <w:t>车设施</w:t>
            </w:r>
          </w:p>
        </w:tc>
        <w:tc>
          <w:tcPr>
            <w:tcW w:w="684" w:type="pct"/>
            <w:vMerge w:val="continue"/>
            <w:vAlign w:val="center"/>
          </w:tcPr>
          <w:p w14:paraId="46975A9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continue"/>
            <w:vAlign w:val="center"/>
          </w:tcPr>
          <w:p w14:paraId="72F2F50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7" w:type="pct"/>
            <w:vAlign w:val="center"/>
          </w:tcPr>
          <w:p w14:paraId="711E53B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新城内</w:t>
            </w:r>
            <w:r>
              <w:rPr>
                <w:rFonts w:hint="default" w:ascii="Times New Roman" w:hAnsi="Times New Roman" w:eastAsia="仿宋_GB2312" w:cs="Times New Roman"/>
                <w:spacing w:val="-1"/>
                <w:sz w:val="24"/>
                <w:szCs w:val="24"/>
              </w:rPr>
              <w:t>部生活方便性</w:t>
            </w:r>
          </w:p>
        </w:tc>
      </w:tr>
      <w:tr w14:paraId="176BFD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jc w:val="center"/>
        </w:trPr>
        <w:tc>
          <w:tcPr>
            <w:tcW w:w="611" w:type="pct"/>
            <w:vMerge w:val="continue"/>
            <w:vAlign w:val="center"/>
          </w:tcPr>
          <w:p w14:paraId="07C44BC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continue"/>
            <w:tcBorders>
              <w:top w:val="nil"/>
            </w:tcBorders>
            <w:vAlign w:val="center"/>
          </w:tcPr>
          <w:p w14:paraId="0A8D150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4" w:type="pct"/>
            <w:vAlign w:val="center"/>
          </w:tcPr>
          <w:p w14:paraId="66EC095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充</w:t>
            </w:r>
            <w:r>
              <w:rPr>
                <w:rFonts w:hint="default" w:ascii="Times New Roman" w:hAnsi="Times New Roman" w:eastAsia="仿宋_GB2312" w:cs="Times New Roman"/>
                <w:spacing w:val="-2"/>
                <w:sz w:val="24"/>
                <w:szCs w:val="24"/>
              </w:rPr>
              <w:t>电设施</w:t>
            </w:r>
          </w:p>
        </w:tc>
        <w:tc>
          <w:tcPr>
            <w:tcW w:w="684" w:type="pct"/>
            <w:vMerge w:val="continue"/>
            <w:vAlign w:val="center"/>
          </w:tcPr>
          <w:p w14:paraId="7E49387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continue"/>
            <w:vAlign w:val="center"/>
          </w:tcPr>
          <w:p w14:paraId="14C9C4F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7" w:type="pct"/>
            <w:vAlign w:val="center"/>
          </w:tcPr>
          <w:p w14:paraId="282C8A7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新城外</w:t>
            </w:r>
            <w:r>
              <w:rPr>
                <w:rFonts w:hint="default" w:ascii="Times New Roman" w:hAnsi="Times New Roman" w:eastAsia="仿宋_GB2312" w:cs="Times New Roman"/>
                <w:spacing w:val="-1"/>
                <w:sz w:val="24"/>
                <w:szCs w:val="24"/>
              </w:rPr>
              <w:t>部交通便利性</w:t>
            </w:r>
          </w:p>
        </w:tc>
      </w:tr>
      <w:tr w14:paraId="526EBB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jc w:val="center"/>
        </w:trPr>
        <w:tc>
          <w:tcPr>
            <w:tcW w:w="611" w:type="pct"/>
            <w:vMerge w:val="continue"/>
            <w:vAlign w:val="center"/>
          </w:tcPr>
          <w:p w14:paraId="495C0C6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restart"/>
            <w:vAlign w:val="center"/>
          </w:tcPr>
          <w:p w14:paraId="7B36368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2"/>
                <w:sz w:val="24"/>
                <w:szCs w:val="24"/>
              </w:rPr>
            </w:pPr>
            <w:r>
              <w:rPr>
                <w:rFonts w:hint="default" w:ascii="Times New Roman" w:hAnsi="Times New Roman" w:eastAsia="仿宋_GB2312" w:cs="Times New Roman"/>
                <w:spacing w:val="-3"/>
                <w:sz w:val="24"/>
                <w:szCs w:val="24"/>
              </w:rPr>
              <w:t>环</w:t>
            </w:r>
            <w:r>
              <w:rPr>
                <w:rFonts w:hint="default" w:ascii="Times New Roman" w:hAnsi="Times New Roman" w:eastAsia="仿宋_GB2312" w:cs="Times New Roman"/>
                <w:spacing w:val="-2"/>
                <w:sz w:val="24"/>
                <w:szCs w:val="24"/>
              </w:rPr>
              <w:t>境</w:t>
            </w:r>
          </w:p>
          <w:p w14:paraId="16E944C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宜居</w:t>
            </w:r>
          </w:p>
        </w:tc>
        <w:tc>
          <w:tcPr>
            <w:tcW w:w="1384" w:type="pct"/>
            <w:vAlign w:val="center"/>
          </w:tcPr>
          <w:p w14:paraId="78F48A6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公共</w:t>
            </w:r>
            <w:r>
              <w:rPr>
                <w:rFonts w:hint="default" w:ascii="Times New Roman" w:hAnsi="Times New Roman" w:eastAsia="仿宋_GB2312" w:cs="Times New Roman"/>
                <w:spacing w:val="-3"/>
                <w:sz w:val="24"/>
                <w:szCs w:val="24"/>
              </w:rPr>
              <w:t>活</w:t>
            </w:r>
            <w:r>
              <w:rPr>
                <w:rFonts w:hint="default" w:ascii="Times New Roman" w:hAnsi="Times New Roman" w:eastAsia="仿宋_GB2312" w:cs="Times New Roman"/>
                <w:spacing w:val="-2"/>
                <w:sz w:val="24"/>
                <w:szCs w:val="24"/>
              </w:rPr>
              <w:t>动空间</w:t>
            </w:r>
          </w:p>
        </w:tc>
        <w:tc>
          <w:tcPr>
            <w:tcW w:w="684" w:type="pct"/>
            <w:vMerge w:val="continue"/>
            <w:vAlign w:val="center"/>
          </w:tcPr>
          <w:p w14:paraId="32A911D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continue"/>
            <w:vAlign w:val="center"/>
          </w:tcPr>
          <w:p w14:paraId="71E65AD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7" w:type="pct"/>
            <w:vAlign w:val="center"/>
          </w:tcPr>
          <w:p w14:paraId="704A330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保障性租</w:t>
            </w:r>
            <w:r>
              <w:rPr>
                <w:rFonts w:hint="default" w:ascii="Times New Roman" w:hAnsi="Times New Roman" w:eastAsia="仿宋_GB2312" w:cs="Times New Roman"/>
                <w:spacing w:val="-1"/>
                <w:sz w:val="24"/>
                <w:szCs w:val="24"/>
              </w:rPr>
              <w:t>赁住房建设</w:t>
            </w:r>
          </w:p>
        </w:tc>
      </w:tr>
      <w:tr w14:paraId="26361A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jc w:val="center"/>
        </w:trPr>
        <w:tc>
          <w:tcPr>
            <w:tcW w:w="611" w:type="pct"/>
            <w:vMerge w:val="continue"/>
            <w:vAlign w:val="center"/>
          </w:tcPr>
          <w:p w14:paraId="07C0E45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continue"/>
            <w:vAlign w:val="center"/>
          </w:tcPr>
          <w:p w14:paraId="4172AD6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3"/>
                <w:sz w:val="24"/>
                <w:szCs w:val="24"/>
              </w:rPr>
            </w:pPr>
          </w:p>
        </w:tc>
        <w:tc>
          <w:tcPr>
            <w:tcW w:w="1384" w:type="pct"/>
            <w:vAlign w:val="center"/>
          </w:tcPr>
          <w:p w14:paraId="64FCF5D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步</w:t>
            </w:r>
            <w:r>
              <w:rPr>
                <w:rFonts w:hint="default" w:ascii="Times New Roman" w:hAnsi="Times New Roman" w:eastAsia="仿宋_GB2312" w:cs="Times New Roman"/>
                <w:spacing w:val="-3"/>
                <w:sz w:val="24"/>
                <w:szCs w:val="24"/>
              </w:rPr>
              <w:t>行</w:t>
            </w:r>
            <w:r>
              <w:rPr>
                <w:rFonts w:hint="default" w:ascii="Times New Roman" w:hAnsi="Times New Roman" w:eastAsia="仿宋_GB2312" w:cs="Times New Roman"/>
                <w:spacing w:val="-2"/>
                <w:sz w:val="24"/>
                <w:szCs w:val="24"/>
              </w:rPr>
              <w:t>环境</w:t>
            </w:r>
          </w:p>
        </w:tc>
        <w:tc>
          <w:tcPr>
            <w:tcW w:w="684" w:type="pct"/>
            <w:vMerge w:val="continue"/>
            <w:vAlign w:val="center"/>
          </w:tcPr>
          <w:p w14:paraId="053D1AE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continue"/>
            <w:vAlign w:val="center"/>
          </w:tcPr>
          <w:p w14:paraId="3F64298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7" w:type="pct"/>
            <w:vAlign w:val="center"/>
          </w:tcPr>
          <w:p w14:paraId="170747B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住</w:t>
            </w:r>
            <w:r>
              <w:rPr>
                <w:rFonts w:hint="default" w:ascii="Times New Roman" w:hAnsi="Times New Roman" w:eastAsia="仿宋_GB2312" w:cs="Times New Roman"/>
                <w:spacing w:val="-2"/>
                <w:sz w:val="24"/>
                <w:szCs w:val="24"/>
              </w:rPr>
              <w:t>房压力</w:t>
            </w:r>
          </w:p>
        </w:tc>
      </w:tr>
      <w:tr w14:paraId="34FD4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jc w:val="center"/>
        </w:trPr>
        <w:tc>
          <w:tcPr>
            <w:tcW w:w="611" w:type="pct"/>
            <w:vMerge w:val="continue"/>
            <w:vAlign w:val="center"/>
          </w:tcPr>
          <w:p w14:paraId="290F9FD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continue"/>
            <w:vAlign w:val="center"/>
          </w:tcPr>
          <w:p w14:paraId="1A6DF60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3"/>
                <w:sz w:val="24"/>
                <w:szCs w:val="24"/>
              </w:rPr>
            </w:pPr>
          </w:p>
        </w:tc>
        <w:tc>
          <w:tcPr>
            <w:tcW w:w="1384" w:type="pct"/>
            <w:vAlign w:val="center"/>
          </w:tcPr>
          <w:p w14:paraId="1A515F1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垃</w:t>
            </w:r>
            <w:r>
              <w:rPr>
                <w:rFonts w:hint="default" w:ascii="Times New Roman" w:hAnsi="Times New Roman" w:eastAsia="仿宋_GB2312" w:cs="Times New Roman"/>
                <w:spacing w:val="-2"/>
                <w:sz w:val="24"/>
                <w:szCs w:val="24"/>
              </w:rPr>
              <w:t>圾分类</w:t>
            </w:r>
          </w:p>
        </w:tc>
        <w:tc>
          <w:tcPr>
            <w:tcW w:w="684" w:type="pct"/>
            <w:vMerge w:val="continue"/>
            <w:vAlign w:val="center"/>
          </w:tcPr>
          <w:p w14:paraId="2B01E3D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continue"/>
            <w:vAlign w:val="center"/>
          </w:tcPr>
          <w:p w14:paraId="7569EE5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7" w:type="pct"/>
            <w:vAlign w:val="center"/>
          </w:tcPr>
          <w:p w14:paraId="390C558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租房市场规范</w:t>
            </w:r>
            <w:r>
              <w:rPr>
                <w:rFonts w:hint="default" w:ascii="Times New Roman" w:hAnsi="Times New Roman" w:eastAsia="仿宋_GB2312" w:cs="Times New Roman"/>
                <w:spacing w:val="-1"/>
                <w:sz w:val="24"/>
                <w:szCs w:val="24"/>
              </w:rPr>
              <w:t>性</w:t>
            </w:r>
          </w:p>
        </w:tc>
      </w:tr>
      <w:tr w14:paraId="5109E8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jc w:val="center"/>
        </w:trPr>
        <w:tc>
          <w:tcPr>
            <w:tcW w:w="611" w:type="pct"/>
            <w:vMerge w:val="continue"/>
            <w:vAlign w:val="center"/>
          </w:tcPr>
          <w:p w14:paraId="74009ED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restart"/>
            <w:vAlign w:val="center"/>
          </w:tcPr>
          <w:p w14:paraId="0BD2DFD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4"/>
                <w:sz w:val="24"/>
                <w:szCs w:val="24"/>
              </w:rPr>
            </w:pPr>
            <w:r>
              <w:rPr>
                <w:rFonts w:hint="default" w:ascii="Times New Roman" w:hAnsi="Times New Roman" w:eastAsia="仿宋_GB2312" w:cs="Times New Roman"/>
                <w:spacing w:val="-6"/>
                <w:sz w:val="24"/>
                <w:szCs w:val="24"/>
              </w:rPr>
              <w:t>管</w:t>
            </w:r>
            <w:r>
              <w:rPr>
                <w:rFonts w:hint="default" w:ascii="Times New Roman" w:hAnsi="Times New Roman" w:eastAsia="仿宋_GB2312" w:cs="Times New Roman"/>
                <w:spacing w:val="-4"/>
                <w:sz w:val="24"/>
                <w:szCs w:val="24"/>
              </w:rPr>
              <w:t>理</w:t>
            </w:r>
          </w:p>
          <w:p w14:paraId="3F2D1B0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4"/>
                <w:sz w:val="24"/>
                <w:szCs w:val="24"/>
              </w:rPr>
              <w:t>健全</w:t>
            </w:r>
          </w:p>
        </w:tc>
        <w:tc>
          <w:tcPr>
            <w:tcW w:w="1384" w:type="pct"/>
            <w:vAlign w:val="center"/>
          </w:tcPr>
          <w:p w14:paraId="550E0B3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物</w:t>
            </w:r>
            <w:r>
              <w:rPr>
                <w:rFonts w:hint="default" w:ascii="Times New Roman" w:hAnsi="Times New Roman" w:eastAsia="仿宋_GB2312" w:cs="Times New Roman"/>
                <w:spacing w:val="-2"/>
                <w:sz w:val="24"/>
                <w:szCs w:val="24"/>
              </w:rPr>
              <w:t>业服务</w:t>
            </w:r>
          </w:p>
        </w:tc>
        <w:tc>
          <w:tcPr>
            <w:tcW w:w="684" w:type="pct"/>
            <w:vMerge w:val="continue"/>
            <w:vAlign w:val="center"/>
          </w:tcPr>
          <w:p w14:paraId="6F0B12F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continue"/>
            <w:vAlign w:val="center"/>
          </w:tcPr>
          <w:p w14:paraId="3B3D417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7" w:type="pct"/>
            <w:vAlign w:val="center"/>
          </w:tcPr>
          <w:p w14:paraId="307E771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道</w:t>
            </w:r>
            <w:r>
              <w:rPr>
                <w:rFonts w:hint="default" w:ascii="Times New Roman" w:hAnsi="Times New Roman" w:eastAsia="仿宋_GB2312" w:cs="Times New Roman"/>
                <w:spacing w:val="-3"/>
                <w:sz w:val="24"/>
                <w:szCs w:val="24"/>
              </w:rPr>
              <w:t>路</w:t>
            </w:r>
            <w:r>
              <w:rPr>
                <w:rFonts w:hint="default" w:ascii="Times New Roman" w:hAnsi="Times New Roman" w:eastAsia="仿宋_GB2312" w:cs="Times New Roman"/>
                <w:spacing w:val="-2"/>
                <w:sz w:val="24"/>
                <w:szCs w:val="24"/>
              </w:rPr>
              <w:t>通畅性</w:t>
            </w:r>
          </w:p>
        </w:tc>
      </w:tr>
      <w:tr w14:paraId="54DE1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jc w:val="center"/>
        </w:trPr>
        <w:tc>
          <w:tcPr>
            <w:tcW w:w="611" w:type="pct"/>
            <w:vMerge w:val="continue"/>
            <w:vAlign w:val="center"/>
          </w:tcPr>
          <w:p w14:paraId="5317747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continue"/>
            <w:vAlign w:val="center"/>
          </w:tcPr>
          <w:p w14:paraId="703DDF4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3"/>
                <w:sz w:val="24"/>
                <w:szCs w:val="24"/>
              </w:rPr>
            </w:pPr>
          </w:p>
        </w:tc>
        <w:tc>
          <w:tcPr>
            <w:tcW w:w="1384" w:type="pct"/>
            <w:vAlign w:val="center"/>
          </w:tcPr>
          <w:p w14:paraId="4348D20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智</w:t>
            </w:r>
            <w:r>
              <w:rPr>
                <w:rFonts w:hint="default" w:ascii="Times New Roman" w:hAnsi="Times New Roman" w:eastAsia="仿宋_GB2312" w:cs="Times New Roman"/>
                <w:spacing w:val="-2"/>
                <w:sz w:val="24"/>
                <w:szCs w:val="24"/>
              </w:rPr>
              <w:t>慧社区</w:t>
            </w:r>
          </w:p>
        </w:tc>
        <w:tc>
          <w:tcPr>
            <w:tcW w:w="684" w:type="pct"/>
            <w:vMerge w:val="continue"/>
            <w:vAlign w:val="center"/>
          </w:tcPr>
          <w:p w14:paraId="674858F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continue"/>
            <w:vAlign w:val="center"/>
          </w:tcPr>
          <w:p w14:paraId="76A094E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7" w:type="pct"/>
            <w:vAlign w:val="center"/>
          </w:tcPr>
          <w:p w14:paraId="06F554E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公共</w:t>
            </w:r>
            <w:r>
              <w:rPr>
                <w:rFonts w:hint="default" w:ascii="Times New Roman" w:hAnsi="Times New Roman" w:eastAsia="仿宋_GB2312" w:cs="Times New Roman"/>
                <w:spacing w:val="-3"/>
                <w:sz w:val="24"/>
                <w:szCs w:val="24"/>
              </w:rPr>
              <w:t>交</w:t>
            </w:r>
            <w:r>
              <w:rPr>
                <w:rFonts w:hint="default" w:ascii="Times New Roman" w:hAnsi="Times New Roman" w:eastAsia="仿宋_GB2312" w:cs="Times New Roman"/>
                <w:spacing w:val="-2"/>
                <w:sz w:val="24"/>
                <w:szCs w:val="24"/>
              </w:rPr>
              <w:t>通站点</w:t>
            </w:r>
          </w:p>
        </w:tc>
      </w:tr>
      <w:tr w14:paraId="7EFFB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jc w:val="center"/>
        </w:trPr>
        <w:tc>
          <w:tcPr>
            <w:tcW w:w="611" w:type="pct"/>
            <w:vMerge w:val="restart"/>
            <w:vAlign w:val="center"/>
          </w:tcPr>
          <w:p w14:paraId="099C23B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6"/>
                <w:sz w:val="24"/>
                <w:szCs w:val="24"/>
              </w:rPr>
            </w:pPr>
          </w:p>
          <w:p w14:paraId="71BB315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街区</w:t>
            </w:r>
          </w:p>
          <w:p w14:paraId="5CCACDB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6"/>
                <w:sz w:val="24"/>
                <w:szCs w:val="24"/>
              </w:rPr>
              <w:t>9项</w:t>
            </w:r>
          </w:p>
        </w:tc>
        <w:tc>
          <w:tcPr>
            <w:tcW w:w="310" w:type="pct"/>
            <w:vMerge w:val="restart"/>
            <w:vAlign w:val="center"/>
          </w:tcPr>
          <w:p w14:paraId="03105C6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功能</w:t>
            </w:r>
          </w:p>
          <w:p w14:paraId="7A25084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完善</w:t>
            </w:r>
          </w:p>
        </w:tc>
        <w:tc>
          <w:tcPr>
            <w:tcW w:w="1384" w:type="pct"/>
            <w:vAlign w:val="center"/>
          </w:tcPr>
          <w:p w14:paraId="06FC7A8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11"/>
                <w:sz w:val="24"/>
                <w:szCs w:val="24"/>
              </w:rPr>
              <w:t>中</w:t>
            </w:r>
            <w:r>
              <w:rPr>
                <w:rFonts w:hint="default" w:ascii="Times New Roman" w:hAnsi="Times New Roman" w:eastAsia="仿宋_GB2312" w:cs="Times New Roman"/>
                <w:spacing w:val="-10"/>
                <w:sz w:val="24"/>
                <w:szCs w:val="24"/>
              </w:rPr>
              <w:t>学</w:t>
            </w:r>
          </w:p>
        </w:tc>
        <w:tc>
          <w:tcPr>
            <w:tcW w:w="684" w:type="pct"/>
            <w:vMerge w:val="continue"/>
            <w:vAlign w:val="center"/>
          </w:tcPr>
          <w:p w14:paraId="3B801C8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continue"/>
            <w:vAlign w:val="center"/>
          </w:tcPr>
          <w:p w14:paraId="19C7AEC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7" w:type="pct"/>
            <w:vAlign w:val="center"/>
          </w:tcPr>
          <w:p w14:paraId="1D265C1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轨</w:t>
            </w:r>
            <w:r>
              <w:rPr>
                <w:rFonts w:hint="default" w:ascii="Times New Roman" w:hAnsi="Times New Roman" w:eastAsia="仿宋_GB2312" w:cs="Times New Roman"/>
                <w:spacing w:val="-2"/>
                <w:sz w:val="24"/>
                <w:szCs w:val="24"/>
              </w:rPr>
              <w:t>道站点</w:t>
            </w:r>
          </w:p>
        </w:tc>
      </w:tr>
      <w:tr w14:paraId="08BDAC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jc w:val="center"/>
        </w:trPr>
        <w:tc>
          <w:tcPr>
            <w:tcW w:w="611" w:type="pct"/>
            <w:vMerge w:val="continue"/>
            <w:vAlign w:val="center"/>
          </w:tcPr>
          <w:p w14:paraId="72D12FE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continue"/>
            <w:vAlign w:val="center"/>
          </w:tcPr>
          <w:p w14:paraId="1DC55BE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3"/>
                <w:sz w:val="24"/>
                <w:szCs w:val="24"/>
              </w:rPr>
            </w:pPr>
          </w:p>
        </w:tc>
        <w:tc>
          <w:tcPr>
            <w:tcW w:w="1384" w:type="pct"/>
            <w:vAlign w:val="center"/>
          </w:tcPr>
          <w:p w14:paraId="5F432A5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6"/>
                <w:sz w:val="24"/>
                <w:szCs w:val="24"/>
              </w:rPr>
              <w:t>多</w:t>
            </w:r>
            <w:r>
              <w:rPr>
                <w:rFonts w:hint="default" w:ascii="Times New Roman" w:hAnsi="Times New Roman" w:eastAsia="仿宋_GB2312" w:cs="Times New Roman"/>
                <w:spacing w:val="-4"/>
                <w:sz w:val="24"/>
                <w:szCs w:val="24"/>
              </w:rPr>
              <w:t>功</w:t>
            </w:r>
            <w:r>
              <w:rPr>
                <w:rFonts w:hint="default" w:ascii="Times New Roman" w:hAnsi="Times New Roman" w:eastAsia="仿宋_GB2312" w:cs="Times New Roman"/>
                <w:spacing w:val="-3"/>
                <w:sz w:val="24"/>
                <w:szCs w:val="24"/>
              </w:rPr>
              <w:t>能运动场地</w:t>
            </w:r>
          </w:p>
        </w:tc>
        <w:tc>
          <w:tcPr>
            <w:tcW w:w="684" w:type="pct"/>
            <w:vMerge w:val="continue"/>
            <w:vAlign w:val="center"/>
          </w:tcPr>
          <w:p w14:paraId="2DE0E5A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restart"/>
            <w:vAlign w:val="center"/>
          </w:tcPr>
          <w:p w14:paraId="025EA8A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安</w:t>
            </w:r>
            <w:r>
              <w:rPr>
                <w:rFonts w:hint="default" w:ascii="Times New Roman" w:hAnsi="Times New Roman" w:eastAsia="仿宋_GB2312" w:cs="Times New Roman"/>
                <w:spacing w:val="-3"/>
                <w:sz w:val="24"/>
                <w:szCs w:val="24"/>
              </w:rPr>
              <w:t>全</w:t>
            </w:r>
            <w:r>
              <w:rPr>
                <w:rFonts w:hint="default" w:ascii="Times New Roman" w:hAnsi="Times New Roman" w:eastAsia="仿宋_GB2312" w:cs="Times New Roman"/>
                <w:spacing w:val="-2"/>
                <w:sz w:val="24"/>
                <w:szCs w:val="24"/>
              </w:rPr>
              <w:t>韧性</w:t>
            </w:r>
          </w:p>
        </w:tc>
        <w:tc>
          <w:tcPr>
            <w:tcW w:w="1387" w:type="pct"/>
            <w:vAlign w:val="center"/>
          </w:tcPr>
          <w:p w14:paraId="30B6CBD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安全事故应对能</w:t>
            </w:r>
            <w:r>
              <w:rPr>
                <w:rFonts w:hint="default" w:ascii="Times New Roman" w:hAnsi="Times New Roman" w:eastAsia="仿宋_GB2312" w:cs="Times New Roman"/>
                <w:spacing w:val="-1"/>
                <w:sz w:val="24"/>
                <w:szCs w:val="24"/>
              </w:rPr>
              <w:t>力</w:t>
            </w:r>
          </w:p>
        </w:tc>
      </w:tr>
      <w:tr w14:paraId="0CBA6C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jc w:val="center"/>
        </w:trPr>
        <w:tc>
          <w:tcPr>
            <w:tcW w:w="611" w:type="pct"/>
            <w:vMerge w:val="continue"/>
            <w:vAlign w:val="center"/>
          </w:tcPr>
          <w:p w14:paraId="76769B1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continue"/>
            <w:vAlign w:val="center"/>
          </w:tcPr>
          <w:p w14:paraId="4F4D9E2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3"/>
                <w:sz w:val="24"/>
                <w:szCs w:val="24"/>
              </w:rPr>
            </w:pPr>
          </w:p>
        </w:tc>
        <w:tc>
          <w:tcPr>
            <w:tcW w:w="1384" w:type="pct"/>
            <w:vAlign w:val="center"/>
          </w:tcPr>
          <w:p w14:paraId="787137C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文化活动中心</w:t>
            </w:r>
          </w:p>
        </w:tc>
        <w:tc>
          <w:tcPr>
            <w:tcW w:w="684" w:type="pct"/>
            <w:vMerge w:val="continue"/>
            <w:vAlign w:val="center"/>
          </w:tcPr>
          <w:p w14:paraId="1591936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continue"/>
            <w:vAlign w:val="center"/>
          </w:tcPr>
          <w:p w14:paraId="687EA4D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7" w:type="pct"/>
            <w:vAlign w:val="center"/>
          </w:tcPr>
          <w:p w14:paraId="66784F2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应</w:t>
            </w:r>
            <w:r>
              <w:rPr>
                <w:rFonts w:hint="default" w:ascii="Times New Roman" w:hAnsi="Times New Roman" w:eastAsia="仿宋_GB2312" w:cs="Times New Roman"/>
                <w:spacing w:val="-2"/>
                <w:sz w:val="24"/>
                <w:szCs w:val="24"/>
              </w:rPr>
              <w:t>急管理</w:t>
            </w:r>
          </w:p>
        </w:tc>
      </w:tr>
      <w:tr w14:paraId="553B5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jc w:val="center"/>
        </w:trPr>
        <w:tc>
          <w:tcPr>
            <w:tcW w:w="611" w:type="pct"/>
            <w:vMerge w:val="continue"/>
            <w:vAlign w:val="center"/>
          </w:tcPr>
          <w:p w14:paraId="76DE3A6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continue"/>
            <w:vAlign w:val="center"/>
          </w:tcPr>
          <w:p w14:paraId="7A1182B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3"/>
                <w:sz w:val="24"/>
                <w:szCs w:val="24"/>
              </w:rPr>
            </w:pPr>
          </w:p>
        </w:tc>
        <w:tc>
          <w:tcPr>
            <w:tcW w:w="1384" w:type="pct"/>
            <w:vAlign w:val="center"/>
          </w:tcPr>
          <w:p w14:paraId="78D130D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公园绿化活动场地</w:t>
            </w:r>
          </w:p>
        </w:tc>
        <w:tc>
          <w:tcPr>
            <w:tcW w:w="684" w:type="pct"/>
            <w:vMerge w:val="continue"/>
            <w:vAlign w:val="center"/>
          </w:tcPr>
          <w:p w14:paraId="06DF725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continue"/>
            <w:vAlign w:val="center"/>
          </w:tcPr>
          <w:p w14:paraId="449BDF5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7" w:type="pct"/>
            <w:vAlign w:val="center"/>
          </w:tcPr>
          <w:p w14:paraId="433C778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8"/>
                <w:sz w:val="24"/>
                <w:szCs w:val="24"/>
              </w:rPr>
              <w:t>内</w:t>
            </w:r>
            <w:r>
              <w:rPr>
                <w:rFonts w:hint="default" w:ascii="Times New Roman" w:hAnsi="Times New Roman" w:eastAsia="仿宋_GB2312" w:cs="Times New Roman"/>
                <w:spacing w:val="-7"/>
                <w:sz w:val="24"/>
                <w:szCs w:val="24"/>
              </w:rPr>
              <w:t>涝积水</w:t>
            </w:r>
          </w:p>
        </w:tc>
      </w:tr>
      <w:tr w14:paraId="0E80D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jc w:val="center"/>
        </w:trPr>
        <w:tc>
          <w:tcPr>
            <w:tcW w:w="611" w:type="pct"/>
            <w:vMerge w:val="continue"/>
            <w:vAlign w:val="center"/>
          </w:tcPr>
          <w:p w14:paraId="001E6CB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restart"/>
            <w:vAlign w:val="center"/>
          </w:tcPr>
          <w:p w14:paraId="494E1BA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2"/>
                <w:sz w:val="24"/>
                <w:szCs w:val="24"/>
              </w:rPr>
            </w:pPr>
            <w:r>
              <w:rPr>
                <w:rFonts w:hint="default" w:ascii="Times New Roman" w:hAnsi="Times New Roman" w:eastAsia="仿宋_GB2312" w:cs="Times New Roman"/>
                <w:spacing w:val="-3"/>
                <w:sz w:val="24"/>
                <w:szCs w:val="24"/>
              </w:rPr>
              <w:t>整</w:t>
            </w:r>
            <w:r>
              <w:rPr>
                <w:rFonts w:hint="default" w:ascii="Times New Roman" w:hAnsi="Times New Roman" w:eastAsia="仿宋_GB2312" w:cs="Times New Roman"/>
                <w:spacing w:val="-2"/>
                <w:sz w:val="24"/>
                <w:szCs w:val="24"/>
              </w:rPr>
              <w:t>洁</w:t>
            </w:r>
          </w:p>
          <w:p w14:paraId="1EB8F82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2"/>
                <w:sz w:val="24"/>
                <w:szCs w:val="24"/>
              </w:rPr>
              <w:t>有序</w:t>
            </w:r>
          </w:p>
        </w:tc>
        <w:tc>
          <w:tcPr>
            <w:tcW w:w="1384" w:type="pct"/>
            <w:vAlign w:val="center"/>
          </w:tcPr>
          <w:p w14:paraId="02F57E5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车</w:t>
            </w:r>
            <w:r>
              <w:rPr>
                <w:rFonts w:hint="default" w:ascii="Times New Roman" w:hAnsi="Times New Roman" w:eastAsia="仿宋_GB2312" w:cs="Times New Roman"/>
                <w:spacing w:val="-3"/>
                <w:sz w:val="24"/>
                <w:szCs w:val="24"/>
              </w:rPr>
              <w:t>辆停放</w:t>
            </w:r>
          </w:p>
        </w:tc>
        <w:tc>
          <w:tcPr>
            <w:tcW w:w="684" w:type="pct"/>
            <w:vMerge w:val="continue"/>
            <w:vAlign w:val="center"/>
          </w:tcPr>
          <w:p w14:paraId="62FD0C1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continue"/>
            <w:vAlign w:val="center"/>
          </w:tcPr>
          <w:p w14:paraId="10669AA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7" w:type="pct"/>
            <w:vAlign w:val="center"/>
          </w:tcPr>
          <w:p w14:paraId="4503FAE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排水防</w:t>
            </w:r>
            <w:r>
              <w:rPr>
                <w:rFonts w:hint="default" w:ascii="Times New Roman" w:hAnsi="Times New Roman" w:eastAsia="仿宋_GB2312" w:cs="Times New Roman"/>
                <w:spacing w:val="-1"/>
                <w:sz w:val="24"/>
                <w:szCs w:val="24"/>
              </w:rPr>
              <w:t>涝</w:t>
            </w:r>
          </w:p>
        </w:tc>
      </w:tr>
      <w:tr w14:paraId="0C1269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jc w:val="center"/>
        </w:trPr>
        <w:tc>
          <w:tcPr>
            <w:tcW w:w="611" w:type="pct"/>
            <w:vMerge w:val="continue"/>
            <w:vAlign w:val="center"/>
          </w:tcPr>
          <w:p w14:paraId="10DE324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continue"/>
            <w:vAlign w:val="center"/>
          </w:tcPr>
          <w:p w14:paraId="3444164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3"/>
                <w:sz w:val="24"/>
                <w:szCs w:val="24"/>
              </w:rPr>
            </w:pPr>
          </w:p>
        </w:tc>
        <w:tc>
          <w:tcPr>
            <w:tcW w:w="1384" w:type="pct"/>
            <w:vAlign w:val="center"/>
          </w:tcPr>
          <w:p w14:paraId="61C5372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10"/>
                <w:sz w:val="24"/>
                <w:szCs w:val="24"/>
              </w:rPr>
              <w:t>门</w:t>
            </w:r>
            <w:r>
              <w:rPr>
                <w:rFonts w:hint="default" w:ascii="Times New Roman" w:hAnsi="Times New Roman" w:eastAsia="仿宋_GB2312" w:cs="Times New Roman"/>
                <w:spacing w:val="-6"/>
                <w:sz w:val="24"/>
                <w:szCs w:val="24"/>
              </w:rPr>
              <w:t>前责任制</w:t>
            </w:r>
          </w:p>
        </w:tc>
        <w:tc>
          <w:tcPr>
            <w:tcW w:w="684" w:type="pct"/>
            <w:vMerge w:val="continue"/>
            <w:vAlign w:val="center"/>
          </w:tcPr>
          <w:p w14:paraId="73B8E50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continue"/>
            <w:vAlign w:val="center"/>
          </w:tcPr>
          <w:p w14:paraId="7927F5F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7" w:type="pct"/>
            <w:vAlign w:val="center"/>
          </w:tcPr>
          <w:p w14:paraId="1D7C696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应急避难场所</w:t>
            </w:r>
          </w:p>
        </w:tc>
      </w:tr>
      <w:tr w14:paraId="44EC41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jc w:val="center"/>
        </w:trPr>
        <w:tc>
          <w:tcPr>
            <w:tcW w:w="611" w:type="pct"/>
            <w:vMerge w:val="continue"/>
            <w:vAlign w:val="center"/>
          </w:tcPr>
          <w:p w14:paraId="06E5B07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continue"/>
            <w:vAlign w:val="center"/>
          </w:tcPr>
          <w:p w14:paraId="071A75D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3"/>
                <w:sz w:val="24"/>
                <w:szCs w:val="24"/>
              </w:rPr>
            </w:pPr>
          </w:p>
        </w:tc>
        <w:tc>
          <w:tcPr>
            <w:tcW w:w="1384" w:type="pct"/>
            <w:vAlign w:val="center"/>
          </w:tcPr>
          <w:p w14:paraId="12DFA29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安</w:t>
            </w:r>
            <w:r>
              <w:rPr>
                <w:rFonts w:hint="default" w:ascii="Times New Roman" w:hAnsi="Times New Roman" w:eastAsia="仿宋_GB2312" w:cs="Times New Roman"/>
                <w:spacing w:val="-3"/>
                <w:sz w:val="24"/>
                <w:szCs w:val="24"/>
              </w:rPr>
              <w:t>全</w:t>
            </w:r>
            <w:r>
              <w:rPr>
                <w:rFonts w:hint="default" w:ascii="Times New Roman" w:hAnsi="Times New Roman" w:eastAsia="仿宋_GB2312" w:cs="Times New Roman"/>
                <w:spacing w:val="-2"/>
                <w:sz w:val="24"/>
                <w:szCs w:val="24"/>
              </w:rPr>
              <w:t>维护</w:t>
            </w:r>
          </w:p>
        </w:tc>
        <w:tc>
          <w:tcPr>
            <w:tcW w:w="684" w:type="pct"/>
            <w:vMerge w:val="continue"/>
            <w:vAlign w:val="center"/>
          </w:tcPr>
          <w:p w14:paraId="4214D0D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continue"/>
            <w:vAlign w:val="center"/>
          </w:tcPr>
          <w:p w14:paraId="0E50B63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7" w:type="pct"/>
            <w:vAlign w:val="center"/>
          </w:tcPr>
          <w:p w14:paraId="140F0FE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6"/>
                <w:sz w:val="24"/>
                <w:szCs w:val="24"/>
              </w:rPr>
              <w:t>急</w:t>
            </w:r>
            <w:r>
              <w:rPr>
                <w:rFonts w:hint="default" w:ascii="Times New Roman" w:hAnsi="Times New Roman" w:eastAsia="仿宋_GB2312" w:cs="Times New Roman"/>
                <w:spacing w:val="-4"/>
                <w:sz w:val="24"/>
                <w:szCs w:val="24"/>
              </w:rPr>
              <w:t>诊就医</w:t>
            </w:r>
          </w:p>
        </w:tc>
      </w:tr>
      <w:tr w14:paraId="6807B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jc w:val="center"/>
        </w:trPr>
        <w:tc>
          <w:tcPr>
            <w:tcW w:w="611" w:type="pct"/>
            <w:vMerge w:val="continue"/>
            <w:vAlign w:val="center"/>
          </w:tcPr>
          <w:p w14:paraId="202366D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restart"/>
            <w:vAlign w:val="center"/>
          </w:tcPr>
          <w:p w14:paraId="007E4BD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2"/>
                <w:sz w:val="24"/>
                <w:szCs w:val="24"/>
              </w:rPr>
            </w:pPr>
            <w:r>
              <w:rPr>
                <w:rFonts w:hint="default" w:ascii="Times New Roman" w:hAnsi="Times New Roman" w:eastAsia="仿宋_GB2312" w:cs="Times New Roman"/>
                <w:spacing w:val="-3"/>
                <w:sz w:val="24"/>
                <w:szCs w:val="24"/>
              </w:rPr>
              <w:t>特</w:t>
            </w:r>
            <w:r>
              <w:rPr>
                <w:rFonts w:hint="default" w:ascii="Times New Roman" w:hAnsi="Times New Roman" w:eastAsia="仿宋_GB2312" w:cs="Times New Roman"/>
                <w:spacing w:val="-2"/>
                <w:sz w:val="24"/>
                <w:szCs w:val="24"/>
              </w:rPr>
              <w:t>色</w:t>
            </w:r>
          </w:p>
          <w:p w14:paraId="7979D10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2"/>
                <w:sz w:val="24"/>
                <w:szCs w:val="24"/>
              </w:rPr>
              <w:t>活力</w:t>
            </w:r>
          </w:p>
        </w:tc>
        <w:tc>
          <w:tcPr>
            <w:tcW w:w="1384" w:type="pct"/>
            <w:vAlign w:val="center"/>
          </w:tcPr>
          <w:p w14:paraId="271C704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文</w:t>
            </w:r>
            <w:r>
              <w:rPr>
                <w:rFonts w:hint="default" w:ascii="Times New Roman" w:hAnsi="Times New Roman" w:eastAsia="仿宋_GB2312" w:cs="Times New Roman"/>
                <w:spacing w:val="-2"/>
                <w:sz w:val="24"/>
                <w:szCs w:val="24"/>
              </w:rPr>
              <w:t>体活动</w:t>
            </w:r>
          </w:p>
        </w:tc>
        <w:tc>
          <w:tcPr>
            <w:tcW w:w="684" w:type="pct"/>
            <w:vMerge w:val="continue"/>
            <w:vAlign w:val="center"/>
          </w:tcPr>
          <w:p w14:paraId="55031AB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restart"/>
            <w:vAlign w:val="center"/>
          </w:tcPr>
          <w:p w14:paraId="206F0E2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智</w:t>
            </w:r>
            <w:r>
              <w:rPr>
                <w:rFonts w:hint="default" w:ascii="Times New Roman" w:hAnsi="Times New Roman" w:eastAsia="仿宋_GB2312" w:cs="Times New Roman"/>
                <w:spacing w:val="-2"/>
                <w:sz w:val="24"/>
                <w:szCs w:val="24"/>
              </w:rPr>
              <w:t>慧高效</w:t>
            </w:r>
          </w:p>
        </w:tc>
        <w:tc>
          <w:tcPr>
            <w:tcW w:w="1387" w:type="pct"/>
            <w:vAlign w:val="center"/>
          </w:tcPr>
          <w:p w14:paraId="18DAF57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智</w:t>
            </w:r>
            <w:r>
              <w:rPr>
                <w:rFonts w:hint="default" w:ascii="Times New Roman" w:hAnsi="Times New Roman" w:eastAsia="仿宋_GB2312" w:cs="Times New Roman"/>
                <w:spacing w:val="-2"/>
                <w:sz w:val="24"/>
                <w:szCs w:val="24"/>
              </w:rPr>
              <w:t>慧交通</w:t>
            </w:r>
          </w:p>
        </w:tc>
      </w:tr>
      <w:tr w14:paraId="14D802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jc w:val="center"/>
        </w:trPr>
        <w:tc>
          <w:tcPr>
            <w:tcW w:w="611" w:type="pct"/>
            <w:vMerge w:val="continue"/>
            <w:vAlign w:val="center"/>
          </w:tcPr>
          <w:p w14:paraId="39B67D7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continue"/>
            <w:vAlign w:val="center"/>
          </w:tcPr>
          <w:p w14:paraId="28AFFF2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3"/>
                <w:sz w:val="24"/>
                <w:szCs w:val="24"/>
              </w:rPr>
            </w:pPr>
          </w:p>
        </w:tc>
        <w:tc>
          <w:tcPr>
            <w:tcW w:w="1384" w:type="pct"/>
            <w:vMerge w:val="restart"/>
            <w:vAlign w:val="center"/>
          </w:tcPr>
          <w:p w14:paraId="07A7893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p w14:paraId="3F2F8C2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p w14:paraId="2DD7E1C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6"/>
                <w:sz w:val="24"/>
                <w:szCs w:val="24"/>
              </w:rPr>
              <w:t>商</w:t>
            </w:r>
            <w:r>
              <w:rPr>
                <w:rFonts w:hint="default" w:ascii="Times New Roman" w:hAnsi="Times New Roman" w:eastAsia="仿宋_GB2312" w:cs="Times New Roman"/>
                <w:spacing w:val="-3"/>
                <w:sz w:val="24"/>
                <w:szCs w:val="24"/>
              </w:rPr>
              <w:t>业活力</w:t>
            </w:r>
          </w:p>
        </w:tc>
        <w:tc>
          <w:tcPr>
            <w:tcW w:w="684" w:type="pct"/>
            <w:vMerge w:val="continue"/>
            <w:vAlign w:val="center"/>
          </w:tcPr>
          <w:p w14:paraId="4F712BB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continue"/>
            <w:vAlign w:val="center"/>
          </w:tcPr>
          <w:p w14:paraId="087DD95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7" w:type="pct"/>
            <w:vAlign w:val="center"/>
          </w:tcPr>
          <w:p w14:paraId="5074E91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智</w:t>
            </w:r>
            <w:r>
              <w:rPr>
                <w:rFonts w:hint="default" w:ascii="Times New Roman" w:hAnsi="Times New Roman" w:eastAsia="仿宋_GB2312" w:cs="Times New Roman"/>
                <w:spacing w:val="-2"/>
                <w:sz w:val="24"/>
                <w:szCs w:val="24"/>
              </w:rPr>
              <w:t>慧政务</w:t>
            </w:r>
          </w:p>
        </w:tc>
      </w:tr>
      <w:tr w14:paraId="3E04F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jc w:val="center"/>
        </w:trPr>
        <w:tc>
          <w:tcPr>
            <w:tcW w:w="611" w:type="pct"/>
            <w:vMerge w:val="continue"/>
            <w:vAlign w:val="center"/>
          </w:tcPr>
          <w:p w14:paraId="088FE8D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continue"/>
            <w:vAlign w:val="center"/>
          </w:tcPr>
          <w:p w14:paraId="37775EB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3"/>
                <w:sz w:val="24"/>
                <w:szCs w:val="24"/>
              </w:rPr>
            </w:pPr>
          </w:p>
        </w:tc>
        <w:tc>
          <w:tcPr>
            <w:tcW w:w="1384" w:type="pct"/>
            <w:vMerge w:val="continue"/>
            <w:vAlign w:val="center"/>
          </w:tcPr>
          <w:p w14:paraId="581431E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84" w:type="pct"/>
            <w:vMerge w:val="continue"/>
            <w:vAlign w:val="center"/>
          </w:tcPr>
          <w:p w14:paraId="1C3724F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continue"/>
            <w:vAlign w:val="center"/>
          </w:tcPr>
          <w:p w14:paraId="2A742F4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7" w:type="pct"/>
            <w:vAlign w:val="center"/>
          </w:tcPr>
          <w:p w14:paraId="00CBB35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智</w:t>
            </w:r>
            <w:r>
              <w:rPr>
                <w:rFonts w:hint="default" w:ascii="Times New Roman" w:hAnsi="Times New Roman" w:eastAsia="仿宋_GB2312" w:cs="Times New Roman"/>
                <w:spacing w:val="-2"/>
                <w:sz w:val="24"/>
                <w:szCs w:val="24"/>
              </w:rPr>
              <w:t>慧医疗</w:t>
            </w:r>
          </w:p>
        </w:tc>
      </w:tr>
      <w:tr w14:paraId="6200C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jc w:val="center"/>
        </w:trPr>
        <w:tc>
          <w:tcPr>
            <w:tcW w:w="611" w:type="pct"/>
            <w:vMerge w:val="continue"/>
            <w:vAlign w:val="center"/>
          </w:tcPr>
          <w:p w14:paraId="7DA2E22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310" w:type="pct"/>
            <w:vMerge w:val="continue"/>
            <w:vAlign w:val="center"/>
          </w:tcPr>
          <w:p w14:paraId="1B13174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pacing w:val="-3"/>
                <w:sz w:val="24"/>
                <w:szCs w:val="24"/>
              </w:rPr>
            </w:pPr>
          </w:p>
        </w:tc>
        <w:tc>
          <w:tcPr>
            <w:tcW w:w="1384" w:type="pct"/>
            <w:vMerge w:val="continue"/>
            <w:vAlign w:val="center"/>
          </w:tcPr>
          <w:p w14:paraId="6585A06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84" w:type="pct"/>
            <w:vMerge w:val="continue"/>
            <w:vAlign w:val="center"/>
          </w:tcPr>
          <w:p w14:paraId="1BB6592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621" w:type="pct"/>
            <w:vMerge w:val="continue"/>
            <w:vAlign w:val="center"/>
          </w:tcPr>
          <w:p w14:paraId="3FE4543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p>
        </w:tc>
        <w:tc>
          <w:tcPr>
            <w:tcW w:w="1387" w:type="pct"/>
            <w:vAlign w:val="center"/>
          </w:tcPr>
          <w:p w14:paraId="6E9BB895">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智</w:t>
            </w:r>
            <w:r>
              <w:rPr>
                <w:rFonts w:hint="default" w:ascii="Times New Roman" w:hAnsi="Times New Roman" w:eastAsia="仿宋_GB2312" w:cs="Times New Roman"/>
                <w:spacing w:val="-2"/>
                <w:sz w:val="24"/>
                <w:szCs w:val="24"/>
              </w:rPr>
              <w:t>慧科教</w:t>
            </w:r>
          </w:p>
        </w:tc>
      </w:tr>
    </w:tbl>
    <w:p w14:paraId="5F57FFD3">
      <w:pPr>
        <w:pStyle w:val="2"/>
        <w:ind w:left="0" w:leftChars="0" w:firstLine="0" w:firstLineChars="0"/>
        <w:jc w:val="center"/>
        <w:rPr>
          <w:rFonts w:hint="default" w:ascii="Times New Roman" w:hAnsi="Times New Roman" w:eastAsia="仿宋" w:cs="Times New Roman"/>
        </w:rPr>
      </w:pPr>
    </w:p>
    <w:p w14:paraId="12CEAFDB">
      <w:pPr>
        <w:pStyle w:val="2"/>
        <w:ind w:left="0" w:leftChars="0" w:firstLine="0" w:firstLineChars="0"/>
        <w:jc w:val="center"/>
        <w:rPr>
          <w:rFonts w:hint="default" w:ascii="Times New Roman" w:hAnsi="Times New Roman" w:eastAsia="仿宋" w:cs="Times New Roman"/>
        </w:rPr>
      </w:pPr>
    </w:p>
    <w:p w14:paraId="5DDCB0CE">
      <w:pPr>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br w:type="page"/>
      </w:r>
    </w:p>
    <w:p w14:paraId="4D5383E8">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第四章 开展问卷调查</w:t>
      </w:r>
    </w:p>
    <w:p w14:paraId="24456B2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（1）问卷调查应以社区为单位，每个社区确定一名社会满意度调查管理员，由管理员组织本社区社会满意度调查问卷的宣传及填报工作。</w:t>
      </w:r>
    </w:p>
    <w:p w14:paraId="2BC301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（2）问卷调查应通过对调查人员培训和试点调查等措施统一标准，确保问卷填写完整、准确、合理。</w:t>
      </w:r>
    </w:p>
    <w:p w14:paraId="7955049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（3）社区问卷应由社会满意度调查管理员根据本社区实际情况如实填写。</w:t>
      </w:r>
    </w:p>
    <w:p w14:paraId="06FABBA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（4）居民问卷应由社会满意度调查管理员组织本社区居民填报，并控制样本结构合理。</w:t>
      </w:r>
    </w:p>
    <w:p w14:paraId="0790CE7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（5）问卷调查过程中应通过答题限制、数据复核等途径控制问卷质量。</w:t>
      </w:r>
    </w:p>
    <w:p w14:paraId="34E32539">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第五章 调查数据计算</w:t>
      </w:r>
    </w:p>
    <w:p w14:paraId="4AF7A00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（1）调查数据应进行数据</w:t>
      </w:r>
      <w:r>
        <w:rPr>
          <w:rFonts w:hint="eastAsia" w:ascii="Times New Roman" w:hAnsi="Times New Roman" w:eastAsia="仿宋_GB2312" w:cs="Times New Roman"/>
          <w:color w:val="000000"/>
          <w:kern w:val="0"/>
          <w:sz w:val="32"/>
          <w:szCs w:val="32"/>
          <w:lang w:eastAsia="zh-CN"/>
        </w:rPr>
        <w:t>校核</w:t>
      </w:r>
      <w:r>
        <w:rPr>
          <w:rFonts w:hint="default" w:ascii="Times New Roman" w:hAnsi="Times New Roman" w:eastAsia="仿宋_GB2312" w:cs="Times New Roman"/>
          <w:color w:val="000000"/>
          <w:kern w:val="0"/>
          <w:sz w:val="32"/>
          <w:szCs w:val="32"/>
        </w:rPr>
        <w:t>，补充缺失部分、纠正或删除错误部分、筛选并清除重复多余部分，将其整理成便于分析和使用的高质量数据。</w:t>
      </w:r>
    </w:p>
    <w:p w14:paraId="6827ED1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（2）问卷数据应分为社区问卷数据、居民问卷数据及居民开放性提案。数据内容包括居民满意度数据、社区与受访者基本信息及受访者开放性意见建议等。</w:t>
      </w:r>
    </w:p>
    <w:p w14:paraId="1B835E6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（3）问卷数据计算应包括二级指标得分计算、一级目标维度得分计算、总体社会满意度计算。</w:t>
      </w:r>
    </w:p>
    <w:p w14:paraId="54DB45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（4）二级指标得分计算采用五分量表法对满意度评价的等级选项进行赋值，应符合表1的规定。</w:t>
      </w:r>
    </w:p>
    <w:p w14:paraId="62BA09FE">
      <w:pPr>
        <w:pStyle w:val="61"/>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left="420" w:hanging="420"/>
        <w:textAlignment w:val="auto"/>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表xx 不同选项对应的赋值</w:t>
      </w:r>
    </w:p>
    <w:tbl>
      <w:tblPr>
        <w:tblStyle w:val="9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3"/>
        <w:gridCol w:w="936"/>
      </w:tblGrid>
      <w:tr w14:paraId="4E138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Align w:val="center"/>
          </w:tcPr>
          <w:p w14:paraId="44B8740E">
            <w:pPr>
              <w:spacing w:line="240" w:lineRule="auto"/>
              <w:ind w:left="0" w:leftChars="0" w:right="0" w:rightChars="0" w:firstLine="0" w:firstLineChars="0"/>
              <w:jc w:val="center"/>
              <w:rPr>
                <w:rFonts w:hint="default" w:ascii="Times New Roman" w:hAnsi="Times New Roman" w:eastAsia="仿宋_GB2312" w:cs="Times New Roman"/>
                <w:b/>
                <w:bCs/>
                <w:color w:val="000000"/>
                <w:kern w:val="0"/>
                <w:sz w:val="24"/>
                <w:szCs w:val="24"/>
              </w:rPr>
            </w:pPr>
            <w:r>
              <w:rPr>
                <w:rFonts w:hint="default" w:ascii="Times New Roman" w:hAnsi="Times New Roman" w:eastAsia="仿宋_GB2312" w:cs="Times New Roman"/>
                <w:b/>
                <w:bCs/>
                <w:color w:val="000000"/>
                <w:kern w:val="0"/>
                <w:sz w:val="24"/>
                <w:szCs w:val="24"/>
              </w:rPr>
              <w:t>回答选项</w:t>
            </w:r>
          </w:p>
        </w:tc>
        <w:tc>
          <w:tcPr>
            <w:tcW w:w="0" w:type="auto"/>
            <w:vAlign w:val="center"/>
          </w:tcPr>
          <w:p w14:paraId="357DA71C">
            <w:pPr>
              <w:spacing w:line="240" w:lineRule="auto"/>
              <w:ind w:left="0" w:leftChars="0" w:right="0" w:rightChars="0" w:firstLine="0" w:firstLineChars="0"/>
              <w:jc w:val="center"/>
              <w:rPr>
                <w:rFonts w:hint="default" w:ascii="Times New Roman" w:hAnsi="Times New Roman" w:eastAsia="仿宋_GB2312" w:cs="Times New Roman"/>
                <w:b/>
                <w:bCs/>
                <w:color w:val="000000"/>
                <w:kern w:val="0"/>
                <w:sz w:val="24"/>
                <w:szCs w:val="24"/>
              </w:rPr>
            </w:pPr>
            <w:r>
              <w:rPr>
                <w:rFonts w:hint="default" w:ascii="Times New Roman" w:hAnsi="Times New Roman" w:eastAsia="仿宋_GB2312" w:cs="Times New Roman"/>
                <w:b/>
                <w:bCs/>
                <w:color w:val="000000"/>
                <w:kern w:val="0"/>
                <w:sz w:val="24"/>
                <w:szCs w:val="24"/>
              </w:rPr>
              <w:t>赋值</w:t>
            </w:r>
          </w:p>
        </w:tc>
      </w:tr>
      <w:tr w14:paraId="2EEC7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vAlign w:val="center"/>
          </w:tcPr>
          <w:p w14:paraId="7E4979A0">
            <w:pPr>
              <w:spacing w:line="240" w:lineRule="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很满意/很适合/很友好/不严重/很轻/很低/很大/很方便/很规范</w:t>
            </w:r>
          </w:p>
        </w:tc>
        <w:tc>
          <w:tcPr>
            <w:tcW w:w="0" w:type="auto"/>
            <w:vAlign w:val="center"/>
          </w:tcPr>
          <w:p w14:paraId="03F14461">
            <w:pPr>
              <w:spacing w:line="240" w:lineRule="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100</w:t>
            </w:r>
          </w:p>
        </w:tc>
      </w:tr>
      <w:tr w14:paraId="290BF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vAlign w:val="center"/>
          </w:tcPr>
          <w:p w14:paraId="531F8089">
            <w:pPr>
              <w:spacing w:line="240" w:lineRule="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满意/适合/友好/不太严重/较轻/较低/较大/比较方便/比较规范</w:t>
            </w:r>
          </w:p>
        </w:tc>
        <w:tc>
          <w:tcPr>
            <w:tcW w:w="0" w:type="auto"/>
            <w:vAlign w:val="center"/>
          </w:tcPr>
          <w:p w14:paraId="2F5DDC35">
            <w:pPr>
              <w:spacing w:line="240" w:lineRule="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80</w:t>
            </w:r>
          </w:p>
        </w:tc>
      </w:tr>
      <w:tr w14:paraId="7BA97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vAlign w:val="center"/>
          </w:tcPr>
          <w:p w14:paraId="2F063CFF">
            <w:pPr>
              <w:spacing w:line="240" w:lineRule="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一般</w:t>
            </w:r>
          </w:p>
        </w:tc>
        <w:tc>
          <w:tcPr>
            <w:tcW w:w="0" w:type="auto"/>
            <w:vAlign w:val="center"/>
          </w:tcPr>
          <w:p w14:paraId="5F3F091B">
            <w:pPr>
              <w:spacing w:line="240" w:lineRule="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60</w:t>
            </w:r>
          </w:p>
        </w:tc>
      </w:tr>
      <w:tr w14:paraId="6D67B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vAlign w:val="center"/>
          </w:tcPr>
          <w:p w14:paraId="4E235C48">
            <w:pPr>
              <w:spacing w:line="240" w:lineRule="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不满意/不适合/不友好/有点严重/较高/较小/不太方便/不太规范</w:t>
            </w:r>
          </w:p>
        </w:tc>
        <w:tc>
          <w:tcPr>
            <w:tcW w:w="0" w:type="auto"/>
            <w:vAlign w:val="center"/>
          </w:tcPr>
          <w:p w14:paraId="4B30375B">
            <w:pPr>
              <w:spacing w:line="240" w:lineRule="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40</w:t>
            </w:r>
          </w:p>
        </w:tc>
      </w:tr>
      <w:tr w14:paraId="051B6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vAlign w:val="center"/>
          </w:tcPr>
          <w:p w14:paraId="58819AD8">
            <w:pPr>
              <w:spacing w:line="240" w:lineRule="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很不满意/很不适合/很不友好/很严重/很高/很小/不方便/很不规范</w:t>
            </w:r>
          </w:p>
        </w:tc>
        <w:tc>
          <w:tcPr>
            <w:tcW w:w="0" w:type="auto"/>
            <w:vAlign w:val="center"/>
          </w:tcPr>
          <w:p w14:paraId="17A6F544">
            <w:pPr>
              <w:spacing w:line="240" w:lineRule="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20</w:t>
            </w:r>
          </w:p>
        </w:tc>
      </w:tr>
      <w:tr w14:paraId="2FBA3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vAlign w:val="center"/>
          </w:tcPr>
          <w:p w14:paraId="39C3630F">
            <w:pPr>
              <w:spacing w:line="240" w:lineRule="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没有</w:t>
            </w:r>
          </w:p>
        </w:tc>
        <w:tc>
          <w:tcPr>
            <w:tcW w:w="0" w:type="auto"/>
            <w:vAlign w:val="center"/>
          </w:tcPr>
          <w:p w14:paraId="69DCD5A2">
            <w:pPr>
              <w:spacing w:line="240" w:lineRule="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0</w:t>
            </w:r>
          </w:p>
        </w:tc>
      </w:tr>
      <w:tr w14:paraId="1292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vAlign w:val="center"/>
          </w:tcPr>
          <w:p w14:paraId="07ED42D7">
            <w:pPr>
              <w:spacing w:line="240" w:lineRule="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不了解</w:t>
            </w:r>
          </w:p>
        </w:tc>
        <w:tc>
          <w:tcPr>
            <w:tcW w:w="0" w:type="auto"/>
            <w:vAlign w:val="center"/>
          </w:tcPr>
          <w:p w14:paraId="0D7002D4">
            <w:pPr>
              <w:spacing w:line="240" w:lineRule="auto"/>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不计分</w:t>
            </w:r>
          </w:p>
        </w:tc>
      </w:tr>
    </w:tbl>
    <w:p w14:paraId="0659D148">
      <w:pPr>
        <w:ind w:firstLine="480" w:firstLineChars="200"/>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注：仅部分设施类指标选项增加“没有”这一选项，赋值为0。</w:t>
      </w:r>
    </w:p>
    <w:p w14:paraId="58C83111">
      <w:pPr>
        <w:pStyle w:val="2"/>
        <w:rPr>
          <w:rFonts w:hint="default" w:ascii="Times New Roman" w:hAnsi="Times New Roman" w:eastAsia="仿宋_GB2312" w:cs="Times New Roman"/>
        </w:rPr>
      </w:pPr>
    </w:p>
    <w:p w14:paraId="468F863F">
      <w:pPr>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（5）根据满意度赋值原则，对指标社会满意度进行计算，应按本标准公式（a）计算。</w:t>
      </w:r>
    </w:p>
    <w:p w14:paraId="4727A5E4">
      <w:pPr>
        <w:spacing w:line="360" w:lineRule="auto"/>
        <w:ind w:firstLine="1120" w:firstLineChars="400"/>
        <w:rPr>
          <w:rFonts w:hint="default" w:ascii="Times New Roman" w:hAnsi="Times New Roman" w:eastAsia="仿宋_GB2312" w:cs="Times New Roman"/>
          <w:color w:val="000000"/>
          <w:sz w:val="28"/>
          <w:szCs w:val="28"/>
          <w:lang w:bidi="zh-CN"/>
        </w:rPr>
      </w:pPr>
      <w:r>
        <w:rPr>
          <w:rFonts w:hint="default" w:ascii="Times New Roman" w:hAnsi="Times New Roman" w:eastAsia="仿宋_GB2312" w:cs="Times New Roman"/>
          <w:color w:val="000000"/>
          <w:sz w:val="28"/>
          <w:szCs w:val="28"/>
          <w:lang w:bidi="zh-CN"/>
        </w:rPr>
        <w:t>Q</w:t>
      </w:r>
      <w:r>
        <w:rPr>
          <w:rFonts w:hint="default" w:ascii="Times New Roman" w:hAnsi="Times New Roman" w:eastAsia="仿宋_GB2312" w:cs="Times New Roman"/>
          <w:color w:val="000000"/>
          <w:sz w:val="28"/>
          <w:szCs w:val="28"/>
          <w:vertAlign w:val="subscript"/>
          <w:lang w:bidi="zh-CN"/>
        </w:rPr>
        <w:t>ti</w:t>
      </w:r>
      <w:r>
        <w:rPr>
          <w:rFonts w:hint="default" w:ascii="Times New Roman" w:hAnsi="Times New Roman" w:eastAsia="仿宋_GB2312" w:cs="Times New Roman"/>
          <w:color w:val="000000"/>
          <w:sz w:val="28"/>
          <w:szCs w:val="28"/>
          <w:lang w:bidi="zh-CN"/>
        </w:rPr>
        <w:t>=</w:t>
      </w:r>
      <w:r>
        <w:rPr>
          <w:rFonts w:hint="eastAsia" w:ascii="Times New Roman" w:hAnsi="Times New Roman" w:eastAsia="仿宋_GB2312" w:cs="Times New Roman"/>
          <w:color w:val="000000"/>
          <w:sz w:val="28"/>
          <w:szCs w:val="28"/>
          <w:lang w:bidi="zh-CN"/>
        </w:rPr>
        <w:t>（</w:t>
      </w:r>
      <w:r>
        <w:rPr>
          <w:rFonts w:hint="default" w:ascii="Times New Roman" w:hAnsi="Times New Roman" w:eastAsia="仿宋_GB2312" w:cs="Times New Roman"/>
          <w:color w:val="000000"/>
          <w:sz w:val="28"/>
          <w:szCs w:val="28"/>
          <w:lang w:bidi="zh-CN"/>
        </w:rPr>
        <w:t>C</w:t>
      </w:r>
      <w:r>
        <w:rPr>
          <w:rFonts w:hint="default" w:ascii="Times New Roman" w:hAnsi="Times New Roman" w:eastAsia="仿宋_GB2312" w:cs="Times New Roman"/>
          <w:color w:val="000000"/>
          <w:sz w:val="28"/>
          <w:szCs w:val="28"/>
          <w:vertAlign w:val="subscript"/>
          <w:lang w:bidi="zh-CN"/>
        </w:rPr>
        <w:t>i</w:t>
      </w:r>
      <w:r>
        <w:rPr>
          <w:rFonts w:hint="default" w:ascii="Times New Roman" w:hAnsi="Times New Roman" w:eastAsia="仿宋_GB2312" w:cs="Times New Roman"/>
          <w:color w:val="000000"/>
          <w:sz w:val="28"/>
          <w:szCs w:val="28"/>
          <w:lang w:bidi="zh-CN"/>
        </w:rPr>
        <w:t>*100+D</w:t>
      </w:r>
      <w:r>
        <w:rPr>
          <w:rFonts w:hint="default" w:ascii="Times New Roman" w:hAnsi="Times New Roman" w:eastAsia="仿宋_GB2312" w:cs="Times New Roman"/>
          <w:color w:val="000000"/>
          <w:sz w:val="28"/>
          <w:szCs w:val="28"/>
          <w:vertAlign w:val="subscript"/>
          <w:lang w:bidi="zh-CN"/>
        </w:rPr>
        <w:t>i</w:t>
      </w:r>
      <w:r>
        <w:rPr>
          <w:rFonts w:hint="default" w:ascii="Times New Roman" w:hAnsi="Times New Roman" w:eastAsia="仿宋_GB2312" w:cs="Times New Roman"/>
          <w:color w:val="000000"/>
          <w:sz w:val="28"/>
          <w:szCs w:val="28"/>
          <w:lang w:bidi="zh-CN"/>
        </w:rPr>
        <w:t>*80+E</w:t>
      </w:r>
      <w:r>
        <w:rPr>
          <w:rFonts w:hint="default" w:ascii="Times New Roman" w:hAnsi="Times New Roman" w:eastAsia="仿宋_GB2312" w:cs="Times New Roman"/>
          <w:color w:val="000000"/>
          <w:sz w:val="28"/>
          <w:szCs w:val="28"/>
          <w:vertAlign w:val="subscript"/>
          <w:lang w:bidi="zh-CN"/>
        </w:rPr>
        <w:t>i</w:t>
      </w:r>
      <w:r>
        <w:rPr>
          <w:rFonts w:hint="default" w:ascii="Times New Roman" w:hAnsi="Times New Roman" w:eastAsia="仿宋_GB2312" w:cs="Times New Roman"/>
          <w:color w:val="000000"/>
          <w:sz w:val="28"/>
          <w:szCs w:val="28"/>
          <w:lang w:bidi="zh-CN"/>
        </w:rPr>
        <w:t>*60+F</w:t>
      </w:r>
      <w:r>
        <w:rPr>
          <w:rFonts w:hint="default" w:ascii="Times New Roman" w:hAnsi="Times New Roman" w:eastAsia="仿宋_GB2312" w:cs="Times New Roman"/>
          <w:color w:val="000000"/>
          <w:sz w:val="28"/>
          <w:szCs w:val="28"/>
          <w:vertAlign w:val="subscript"/>
          <w:lang w:bidi="zh-CN"/>
        </w:rPr>
        <w:t>i</w:t>
      </w:r>
      <w:r>
        <w:rPr>
          <w:rFonts w:hint="default" w:ascii="Times New Roman" w:hAnsi="Times New Roman" w:eastAsia="仿宋_GB2312" w:cs="Times New Roman"/>
          <w:color w:val="000000"/>
          <w:sz w:val="28"/>
          <w:szCs w:val="28"/>
          <w:lang w:bidi="zh-CN"/>
        </w:rPr>
        <w:t>*40+G</w:t>
      </w:r>
      <w:r>
        <w:rPr>
          <w:rFonts w:hint="default" w:ascii="Times New Roman" w:hAnsi="Times New Roman" w:eastAsia="仿宋_GB2312" w:cs="Times New Roman"/>
          <w:color w:val="000000"/>
          <w:sz w:val="28"/>
          <w:szCs w:val="28"/>
          <w:vertAlign w:val="subscript"/>
          <w:lang w:bidi="zh-CN"/>
        </w:rPr>
        <w:t>i</w:t>
      </w:r>
      <w:r>
        <w:rPr>
          <w:rFonts w:hint="default" w:ascii="Times New Roman" w:hAnsi="Times New Roman" w:eastAsia="仿宋_GB2312" w:cs="Times New Roman"/>
          <w:color w:val="000000"/>
          <w:sz w:val="28"/>
          <w:szCs w:val="28"/>
          <w:lang w:bidi="zh-CN"/>
        </w:rPr>
        <w:t>*20</w:t>
      </w:r>
      <w:r>
        <w:rPr>
          <w:rFonts w:hint="eastAsia" w:ascii="Times New Roman" w:hAnsi="Times New Roman" w:eastAsia="仿宋_GB2312" w:cs="Times New Roman"/>
          <w:color w:val="000000"/>
          <w:sz w:val="28"/>
          <w:szCs w:val="28"/>
          <w:lang w:bidi="zh-CN"/>
        </w:rPr>
        <w:t>）</w:t>
      </w:r>
      <w:r>
        <w:rPr>
          <w:rFonts w:hint="default" w:ascii="Times New Roman" w:hAnsi="Times New Roman" w:eastAsia="仿宋_GB2312" w:cs="Times New Roman"/>
          <w:color w:val="000000"/>
          <w:sz w:val="28"/>
          <w:szCs w:val="28"/>
          <w:lang w:bidi="zh-CN"/>
        </w:rPr>
        <w:t>/</w:t>
      </w:r>
      <w:r>
        <w:rPr>
          <w:rFonts w:hint="eastAsia" w:ascii="Times New Roman" w:hAnsi="Times New Roman" w:eastAsia="仿宋_GB2312" w:cs="Times New Roman"/>
          <w:color w:val="000000"/>
          <w:sz w:val="28"/>
          <w:szCs w:val="28"/>
          <w:lang w:bidi="zh-CN"/>
        </w:rPr>
        <w:t>（</w:t>
      </w:r>
      <w:r>
        <w:rPr>
          <w:rFonts w:hint="default" w:ascii="Times New Roman" w:hAnsi="Times New Roman" w:eastAsia="仿宋_GB2312" w:cs="Times New Roman"/>
          <w:color w:val="000000"/>
          <w:sz w:val="28"/>
          <w:szCs w:val="28"/>
          <w:lang w:bidi="zh-CN"/>
        </w:rPr>
        <w:t>I</w:t>
      </w:r>
      <w:r>
        <w:rPr>
          <w:rFonts w:hint="default" w:ascii="Times New Roman" w:hAnsi="Times New Roman" w:eastAsia="仿宋_GB2312" w:cs="Times New Roman"/>
          <w:color w:val="000000"/>
          <w:sz w:val="28"/>
          <w:szCs w:val="28"/>
          <w:vertAlign w:val="subscript"/>
          <w:lang w:bidi="zh-CN"/>
        </w:rPr>
        <w:t>i</w:t>
      </w:r>
      <w:r>
        <w:rPr>
          <w:rFonts w:hint="default" w:ascii="Times New Roman" w:hAnsi="Times New Roman" w:eastAsia="仿宋_GB2312" w:cs="Times New Roman"/>
          <w:color w:val="000000"/>
          <w:sz w:val="28"/>
          <w:szCs w:val="28"/>
          <w:lang w:bidi="zh-CN"/>
        </w:rPr>
        <w:t>-H</w:t>
      </w:r>
      <w:r>
        <w:rPr>
          <w:rFonts w:hint="default" w:ascii="Times New Roman" w:hAnsi="Times New Roman" w:eastAsia="仿宋_GB2312" w:cs="Times New Roman"/>
          <w:color w:val="000000"/>
          <w:sz w:val="28"/>
          <w:szCs w:val="28"/>
          <w:vertAlign w:val="subscript"/>
          <w:lang w:bidi="zh-CN"/>
        </w:rPr>
        <w:t>i</w:t>
      </w:r>
      <w:r>
        <w:rPr>
          <w:rFonts w:hint="eastAsia" w:ascii="Times New Roman" w:hAnsi="Times New Roman" w:eastAsia="仿宋_GB2312" w:cs="Times New Roman"/>
          <w:color w:val="000000"/>
          <w:sz w:val="28"/>
          <w:szCs w:val="28"/>
          <w:lang w:bidi="zh-CN"/>
        </w:rPr>
        <w:t>）</w:t>
      </w:r>
      <w:r>
        <w:rPr>
          <w:rFonts w:hint="default" w:ascii="Times New Roman" w:hAnsi="Times New Roman" w:eastAsia="仿宋_GB2312" w:cs="Times New Roman"/>
          <w:color w:val="000000"/>
          <w:sz w:val="28"/>
          <w:szCs w:val="28"/>
          <w:lang w:bidi="zh-CN"/>
        </w:rPr>
        <w:t xml:space="preserve">     （a）</w:t>
      </w:r>
    </w:p>
    <w:p w14:paraId="5C2A6647">
      <w:pPr>
        <w:spacing w:line="360" w:lineRule="auto"/>
        <w:rPr>
          <w:rFonts w:hint="default" w:ascii="Times New Roman" w:hAnsi="Times New Roman" w:eastAsia="仿宋_GB2312" w:cs="Times New Roman"/>
          <w:color w:val="000000"/>
          <w:sz w:val="32"/>
          <w:szCs w:val="32"/>
          <w:lang w:val="zh-CN" w:bidi="zh-CN"/>
        </w:rPr>
      </w:pPr>
      <w:r>
        <w:rPr>
          <w:rFonts w:hint="default" w:ascii="Times New Roman" w:hAnsi="Times New Roman" w:eastAsia="仿宋_GB2312" w:cs="Times New Roman"/>
          <w:color w:val="000000"/>
          <w:sz w:val="32"/>
          <w:szCs w:val="32"/>
          <w:lang w:val="zh-CN" w:bidi="zh-CN"/>
        </w:rPr>
        <w:t>式中：  Q</w:t>
      </w:r>
      <w:r>
        <w:rPr>
          <w:rFonts w:hint="default" w:ascii="Times New Roman" w:hAnsi="Times New Roman" w:eastAsia="仿宋_GB2312" w:cs="Times New Roman"/>
          <w:color w:val="000000"/>
          <w:sz w:val="32"/>
          <w:szCs w:val="32"/>
          <w:vertAlign w:val="subscript"/>
          <w:lang w:val="zh-CN" w:bidi="zh-CN"/>
        </w:rPr>
        <w:t>ti</w:t>
      </w:r>
      <w:r>
        <w:rPr>
          <w:rFonts w:hint="default" w:ascii="Times New Roman" w:hAnsi="Times New Roman" w:eastAsia="仿宋_GB2312" w:cs="Times New Roman"/>
          <w:color w:val="000000"/>
          <w:sz w:val="32"/>
          <w:szCs w:val="32"/>
          <w:lang w:val="zh-CN" w:bidi="zh-CN"/>
        </w:rPr>
        <w:t>——第i个二级指标的满意度分值（分）；</w:t>
      </w:r>
    </w:p>
    <w:p w14:paraId="0C3FB86B">
      <w:pPr>
        <w:spacing w:line="360" w:lineRule="auto"/>
        <w:ind w:left="0" w:leftChars="0" w:firstLine="1097" w:firstLineChars="343"/>
        <w:rPr>
          <w:rFonts w:hint="default" w:ascii="Times New Roman" w:hAnsi="Times New Roman" w:eastAsia="仿宋_GB2312" w:cs="Times New Roman"/>
          <w:color w:val="000000"/>
          <w:spacing w:val="-23"/>
          <w:sz w:val="32"/>
          <w:szCs w:val="32"/>
          <w:lang w:val="zh-CN" w:bidi="zh-CN"/>
        </w:rPr>
      </w:pPr>
      <w:r>
        <w:rPr>
          <w:rFonts w:hint="default" w:ascii="Times New Roman" w:hAnsi="Times New Roman" w:eastAsia="仿宋_GB2312" w:cs="Times New Roman"/>
          <w:color w:val="000000"/>
          <w:sz w:val="32"/>
          <w:szCs w:val="32"/>
          <w:lang w:val="zh-CN" w:bidi="zh-CN"/>
        </w:rPr>
        <w:t>C</w:t>
      </w:r>
      <w:r>
        <w:rPr>
          <w:rFonts w:hint="default" w:ascii="Times New Roman" w:hAnsi="Times New Roman" w:eastAsia="仿宋_GB2312" w:cs="Times New Roman"/>
          <w:color w:val="000000"/>
          <w:sz w:val="32"/>
          <w:szCs w:val="32"/>
          <w:vertAlign w:val="subscript"/>
          <w:lang w:val="zh-CN" w:bidi="zh-CN"/>
        </w:rPr>
        <w:t>i</w:t>
      </w:r>
      <w:r>
        <w:rPr>
          <w:rFonts w:hint="default" w:ascii="Times New Roman" w:hAnsi="Times New Roman" w:eastAsia="仿宋_GB2312" w:cs="Times New Roman"/>
          <w:color w:val="000000"/>
          <w:sz w:val="32"/>
          <w:szCs w:val="32"/>
          <w:lang w:val="zh-CN" w:bidi="zh-CN"/>
        </w:rPr>
        <w:t>——第i</w:t>
      </w:r>
      <w:r>
        <w:rPr>
          <w:rFonts w:hint="default" w:ascii="Times New Roman" w:hAnsi="Times New Roman" w:eastAsia="仿宋_GB2312" w:cs="Times New Roman"/>
          <w:color w:val="000000"/>
          <w:spacing w:val="-23"/>
          <w:sz w:val="32"/>
          <w:szCs w:val="32"/>
          <w:lang w:val="zh-CN" w:bidi="zh-CN"/>
        </w:rPr>
        <w:t>个二级指标选择很满意选项的样本数（个）；</w:t>
      </w:r>
    </w:p>
    <w:p w14:paraId="3C44DDD8">
      <w:pPr>
        <w:spacing w:line="360" w:lineRule="auto"/>
        <w:ind w:left="0" w:leftChars="0" w:firstLine="1097" w:firstLineChars="343"/>
        <w:rPr>
          <w:rFonts w:hint="default" w:ascii="Times New Roman" w:hAnsi="Times New Roman" w:eastAsia="仿宋_GB2312" w:cs="Times New Roman"/>
          <w:color w:val="000000"/>
          <w:spacing w:val="-23"/>
          <w:sz w:val="32"/>
          <w:szCs w:val="32"/>
          <w:lang w:val="zh-CN" w:bidi="zh-CN"/>
        </w:rPr>
      </w:pPr>
      <w:r>
        <w:rPr>
          <w:rFonts w:hint="default" w:ascii="Times New Roman" w:hAnsi="Times New Roman" w:eastAsia="仿宋_GB2312" w:cs="Times New Roman"/>
          <w:color w:val="000000"/>
          <w:sz w:val="32"/>
          <w:szCs w:val="32"/>
          <w:lang w:val="zh-CN" w:bidi="zh-CN"/>
        </w:rPr>
        <w:t>D</w:t>
      </w:r>
      <w:r>
        <w:rPr>
          <w:rFonts w:hint="default" w:ascii="Times New Roman" w:hAnsi="Times New Roman" w:eastAsia="仿宋_GB2312" w:cs="Times New Roman"/>
          <w:color w:val="000000"/>
          <w:sz w:val="32"/>
          <w:szCs w:val="32"/>
          <w:vertAlign w:val="subscript"/>
          <w:lang w:val="zh-CN" w:bidi="zh-CN"/>
        </w:rPr>
        <w:t>i</w:t>
      </w:r>
      <w:r>
        <w:rPr>
          <w:rFonts w:hint="default" w:ascii="Times New Roman" w:hAnsi="Times New Roman" w:eastAsia="仿宋_GB2312" w:cs="Times New Roman"/>
          <w:color w:val="000000"/>
          <w:sz w:val="32"/>
          <w:szCs w:val="32"/>
          <w:lang w:val="zh-CN" w:bidi="zh-CN"/>
        </w:rPr>
        <w:t>——第i</w:t>
      </w:r>
      <w:r>
        <w:rPr>
          <w:rFonts w:hint="default" w:ascii="Times New Roman" w:hAnsi="Times New Roman" w:eastAsia="仿宋_GB2312" w:cs="Times New Roman"/>
          <w:color w:val="000000"/>
          <w:spacing w:val="-23"/>
          <w:sz w:val="32"/>
          <w:szCs w:val="32"/>
          <w:lang w:val="zh-CN" w:bidi="zh-CN"/>
        </w:rPr>
        <w:t>个二级指标选择满意选项的样本数（个）；</w:t>
      </w:r>
    </w:p>
    <w:p w14:paraId="421D0C16">
      <w:pPr>
        <w:spacing w:line="360" w:lineRule="auto"/>
        <w:ind w:left="0" w:leftChars="0" w:firstLine="1097" w:firstLineChars="343"/>
        <w:rPr>
          <w:rFonts w:hint="default" w:ascii="Times New Roman" w:hAnsi="Times New Roman" w:eastAsia="仿宋_GB2312" w:cs="Times New Roman"/>
          <w:color w:val="000000"/>
          <w:spacing w:val="-23"/>
          <w:sz w:val="32"/>
          <w:szCs w:val="32"/>
          <w:lang w:val="zh-CN" w:bidi="zh-CN"/>
        </w:rPr>
      </w:pPr>
      <w:r>
        <w:rPr>
          <w:rFonts w:hint="default" w:ascii="Times New Roman" w:hAnsi="Times New Roman" w:eastAsia="仿宋_GB2312" w:cs="Times New Roman"/>
          <w:color w:val="000000"/>
          <w:sz w:val="32"/>
          <w:szCs w:val="32"/>
          <w:lang w:val="zh-CN" w:bidi="zh-CN"/>
        </w:rPr>
        <w:t>E</w:t>
      </w:r>
      <w:r>
        <w:rPr>
          <w:rFonts w:hint="default" w:ascii="Times New Roman" w:hAnsi="Times New Roman" w:eastAsia="仿宋_GB2312" w:cs="Times New Roman"/>
          <w:color w:val="000000"/>
          <w:sz w:val="32"/>
          <w:szCs w:val="32"/>
          <w:vertAlign w:val="subscript"/>
          <w:lang w:val="zh-CN" w:bidi="zh-CN"/>
        </w:rPr>
        <w:t>i</w:t>
      </w:r>
      <w:r>
        <w:rPr>
          <w:rFonts w:hint="default" w:ascii="Times New Roman" w:hAnsi="Times New Roman" w:eastAsia="仿宋_GB2312" w:cs="Times New Roman"/>
          <w:color w:val="000000"/>
          <w:sz w:val="32"/>
          <w:szCs w:val="32"/>
          <w:lang w:val="zh-CN" w:bidi="zh-CN"/>
        </w:rPr>
        <w:t>——第i</w:t>
      </w:r>
      <w:r>
        <w:rPr>
          <w:rFonts w:hint="default" w:ascii="Times New Roman" w:hAnsi="Times New Roman" w:eastAsia="仿宋_GB2312" w:cs="Times New Roman"/>
          <w:color w:val="000000"/>
          <w:spacing w:val="-23"/>
          <w:sz w:val="32"/>
          <w:szCs w:val="32"/>
          <w:lang w:val="zh-CN" w:bidi="zh-CN"/>
        </w:rPr>
        <w:t>个二级指标选择一般选项的样本数（个）；</w:t>
      </w:r>
    </w:p>
    <w:p w14:paraId="1A95DE94">
      <w:pPr>
        <w:spacing w:line="360" w:lineRule="auto"/>
        <w:ind w:left="0" w:leftChars="0" w:firstLine="1097" w:firstLineChars="343"/>
        <w:rPr>
          <w:rFonts w:hint="default" w:ascii="Times New Roman" w:hAnsi="Times New Roman" w:eastAsia="仿宋_GB2312" w:cs="Times New Roman"/>
          <w:color w:val="000000"/>
          <w:spacing w:val="-28"/>
          <w:sz w:val="32"/>
          <w:szCs w:val="32"/>
          <w:lang w:val="zh-CN" w:bidi="zh-CN"/>
        </w:rPr>
      </w:pPr>
      <w:r>
        <w:rPr>
          <w:rFonts w:hint="default" w:ascii="Times New Roman" w:hAnsi="Times New Roman" w:eastAsia="仿宋_GB2312" w:cs="Times New Roman"/>
          <w:color w:val="000000"/>
          <w:sz w:val="32"/>
          <w:szCs w:val="32"/>
          <w:lang w:val="zh-CN" w:bidi="zh-CN"/>
        </w:rPr>
        <w:t>F</w:t>
      </w:r>
      <w:r>
        <w:rPr>
          <w:rFonts w:hint="default" w:ascii="Times New Roman" w:hAnsi="Times New Roman" w:eastAsia="仿宋_GB2312" w:cs="Times New Roman"/>
          <w:color w:val="000000"/>
          <w:sz w:val="32"/>
          <w:szCs w:val="32"/>
          <w:vertAlign w:val="subscript"/>
          <w:lang w:val="zh-CN" w:bidi="zh-CN"/>
        </w:rPr>
        <w:t>i</w:t>
      </w:r>
      <w:r>
        <w:rPr>
          <w:rFonts w:hint="default" w:ascii="Times New Roman" w:hAnsi="Times New Roman" w:eastAsia="仿宋_GB2312" w:cs="Times New Roman"/>
          <w:color w:val="000000"/>
          <w:sz w:val="32"/>
          <w:szCs w:val="32"/>
          <w:lang w:val="zh-CN" w:bidi="zh-CN"/>
        </w:rPr>
        <w:t>——第i</w:t>
      </w:r>
      <w:r>
        <w:rPr>
          <w:rFonts w:hint="default" w:ascii="Times New Roman" w:hAnsi="Times New Roman" w:eastAsia="仿宋_GB2312" w:cs="Times New Roman"/>
          <w:color w:val="000000"/>
          <w:spacing w:val="-28"/>
          <w:sz w:val="32"/>
          <w:szCs w:val="32"/>
          <w:lang w:val="zh-CN" w:bidi="zh-CN"/>
        </w:rPr>
        <w:t>个二级指标选择不满意选项的样本数（个）；</w:t>
      </w:r>
    </w:p>
    <w:p w14:paraId="271A4213">
      <w:pPr>
        <w:spacing w:line="360" w:lineRule="auto"/>
        <w:ind w:left="0" w:leftChars="0" w:firstLine="1097" w:firstLineChars="343"/>
        <w:rPr>
          <w:rFonts w:hint="default" w:ascii="Times New Roman" w:hAnsi="Times New Roman" w:eastAsia="仿宋_GB2312" w:cs="Times New Roman"/>
          <w:color w:val="000000"/>
          <w:spacing w:val="-34"/>
          <w:sz w:val="32"/>
          <w:szCs w:val="32"/>
          <w:lang w:val="zh-CN" w:bidi="zh-CN"/>
        </w:rPr>
      </w:pPr>
      <w:r>
        <w:rPr>
          <w:rFonts w:hint="default" w:ascii="Times New Roman" w:hAnsi="Times New Roman" w:eastAsia="仿宋_GB2312" w:cs="Times New Roman"/>
          <w:color w:val="000000"/>
          <w:sz w:val="32"/>
          <w:szCs w:val="32"/>
          <w:lang w:val="zh-CN" w:bidi="zh-CN"/>
        </w:rPr>
        <w:t>G</w:t>
      </w:r>
      <w:r>
        <w:rPr>
          <w:rFonts w:hint="default" w:ascii="Times New Roman" w:hAnsi="Times New Roman" w:eastAsia="仿宋_GB2312" w:cs="Times New Roman"/>
          <w:color w:val="000000"/>
          <w:sz w:val="32"/>
          <w:szCs w:val="32"/>
          <w:vertAlign w:val="subscript"/>
          <w:lang w:val="zh-CN" w:bidi="zh-CN"/>
        </w:rPr>
        <w:t>i</w:t>
      </w:r>
      <w:r>
        <w:rPr>
          <w:rFonts w:hint="default" w:ascii="Times New Roman" w:hAnsi="Times New Roman" w:eastAsia="仿宋_GB2312" w:cs="Times New Roman"/>
          <w:color w:val="000000"/>
          <w:sz w:val="32"/>
          <w:szCs w:val="32"/>
          <w:lang w:val="zh-CN" w:bidi="zh-CN"/>
        </w:rPr>
        <w:t>——第i</w:t>
      </w:r>
      <w:r>
        <w:rPr>
          <w:rFonts w:hint="default" w:ascii="Times New Roman" w:hAnsi="Times New Roman" w:eastAsia="仿宋_GB2312" w:cs="Times New Roman"/>
          <w:color w:val="000000"/>
          <w:spacing w:val="-34"/>
          <w:sz w:val="32"/>
          <w:szCs w:val="32"/>
          <w:lang w:val="zh-CN" w:bidi="zh-CN"/>
        </w:rPr>
        <w:t>个二级指标选择很不满意选项的样本数（个）；</w:t>
      </w:r>
    </w:p>
    <w:p w14:paraId="7FD1C07D">
      <w:pPr>
        <w:spacing w:line="360" w:lineRule="auto"/>
        <w:ind w:left="0" w:leftChars="0" w:firstLine="1097" w:firstLineChars="343"/>
        <w:rPr>
          <w:rFonts w:hint="default" w:ascii="Times New Roman" w:hAnsi="Times New Roman" w:eastAsia="仿宋_GB2312" w:cs="Times New Roman"/>
          <w:color w:val="000000"/>
          <w:sz w:val="32"/>
          <w:szCs w:val="32"/>
          <w:lang w:val="zh-CN" w:bidi="zh-CN"/>
        </w:rPr>
      </w:pPr>
      <w:r>
        <w:rPr>
          <w:rFonts w:hint="default" w:ascii="Times New Roman" w:hAnsi="Times New Roman" w:eastAsia="仿宋_GB2312" w:cs="Times New Roman"/>
          <w:color w:val="000000"/>
          <w:sz w:val="32"/>
          <w:szCs w:val="32"/>
          <w:lang w:val="zh-CN" w:bidi="zh-CN"/>
        </w:rPr>
        <w:t>I</w:t>
      </w:r>
      <w:r>
        <w:rPr>
          <w:rFonts w:hint="default" w:ascii="Times New Roman" w:hAnsi="Times New Roman" w:eastAsia="仿宋_GB2312" w:cs="Times New Roman"/>
          <w:color w:val="000000"/>
          <w:sz w:val="32"/>
          <w:szCs w:val="32"/>
          <w:vertAlign w:val="subscript"/>
          <w:lang w:val="zh-CN" w:bidi="zh-CN"/>
        </w:rPr>
        <w:t>i</w:t>
      </w:r>
      <w:r>
        <w:rPr>
          <w:rFonts w:hint="default" w:ascii="Times New Roman" w:hAnsi="Times New Roman" w:eastAsia="仿宋_GB2312" w:cs="Times New Roman"/>
          <w:color w:val="000000"/>
          <w:sz w:val="32"/>
          <w:szCs w:val="32"/>
          <w:lang w:val="zh-CN" w:bidi="zh-CN"/>
        </w:rPr>
        <w:t>——调查总样本数（个）；</w:t>
      </w:r>
    </w:p>
    <w:p w14:paraId="656D8B55">
      <w:pPr>
        <w:spacing w:line="360" w:lineRule="auto"/>
        <w:ind w:left="0" w:leftChars="0" w:firstLine="1097" w:firstLineChars="343"/>
        <w:rPr>
          <w:rFonts w:hint="default" w:ascii="Times New Roman" w:hAnsi="Times New Roman" w:eastAsia="仿宋_GB2312" w:cs="Times New Roman"/>
          <w:color w:val="000000"/>
          <w:sz w:val="32"/>
          <w:szCs w:val="32"/>
          <w:lang w:val="zh-CN" w:bidi="zh-CN"/>
        </w:rPr>
      </w:pPr>
      <w:r>
        <w:rPr>
          <w:rFonts w:hint="default" w:ascii="Times New Roman" w:hAnsi="Times New Roman" w:eastAsia="仿宋_GB2312" w:cs="Times New Roman"/>
          <w:color w:val="000000"/>
          <w:sz w:val="32"/>
          <w:szCs w:val="32"/>
          <w:lang w:val="zh-CN" w:bidi="zh-CN"/>
        </w:rPr>
        <w:t>H</w:t>
      </w:r>
      <w:r>
        <w:rPr>
          <w:rFonts w:hint="default" w:ascii="Times New Roman" w:hAnsi="Times New Roman" w:eastAsia="仿宋_GB2312" w:cs="Times New Roman"/>
          <w:color w:val="000000"/>
          <w:sz w:val="32"/>
          <w:szCs w:val="32"/>
          <w:vertAlign w:val="subscript"/>
          <w:lang w:val="zh-CN" w:bidi="zh-CN"/>
        </w:rPr>
        <w:t>i</w:t>
      </w:r>
      <w:r>
        <w:rPr>
          <w:rFonts w:hint="default" w:ascii="Times New Roman" w:hAnsi="Times New Roman" w:eastAsia="仿宋_GB2312" w:cs="Times New Roman"/>
          <w:color w:val="000000"/>
          <w:sz w:val="32"/>
          <w:szCs w:val="32"/>
          <w:lang w:val="zh-CN" w:bidi="zh-CN"/>
        </w:rPr>
        <w:t>——第i个二级指标选择“不了解”的样本数（个）。</w:t>
      </w:r>
    </w:p>
    <w:p w14:paraId="70F26113">
      <w:pPr>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（6）一级目标维度得分计算通过计算所含二级指标社会满意度得分的平均值获得，应按本标准公式（b）计算。</w:t>
      </w:r>
    </w:p>
    <w:p w14:paraId="78B1D170">
      <w:pPr>
        <w:numPr>
          <w:ilvl w:val="255"/>
          <w:numId w:val="0"/>
        </w:numPr>
        <w:spacing w:line="360" w:lineRule="auto"/>
        <w:jc w:val="center"/>
        <w:rPr>
          <w:rFonts w:hint="default" w:ascii="Times New Roman" w:hAnsi="Times New Roman" w:eastAsia="仿宋_GB2312" w:cs="Times New Roman"/>
          <w:color w:val="000000"/>
          <w:sz w:val="28"/>
          <w:szCs w:val="28"/>
          <w:lang w:val="zh-CN" w:bidi="zh-CN"/>
        </w:rPr>
      </w:pPr>
      <w:r>
        <w:rPr>
          <w:rFonts w:hint="default" w:ascii="Times New Roman" w:hAnsi="Times New Roman" w:eastAsia="仿宋_GB2312" w:cs="Times New Roman"/>
          <w:color w:val="000000"/>
          <w:sz w:val="28"/>
          <w:szCs w:val="28"/>
          <w:lang w:bidi="zh-CN"/>
        </w:rPr>
        <w:t xml:space="preserve">             Q</w:t>
      </w:r>
      <w:r>
        <w:rPr>
          <w:rFonts w:hint="default" w:ascii="Times New Roman" w:hAnsi="Times New Roman" w:eastAsia="仿宋_GB2312" w:cs="Times New Roman"/>
          <w:color w:val="000000"/>
          <w:sz w:val="28"/>
          <w:szCs w:val="28"/>
          <w:vertAlign w:val="subscript"/>
          <w:lang w:bidi="zh-CN"/>
        </w:rPr>
        <w:t>Tj</w:t>
      </w:r>
      <w:r>
        <w:rPr>
          <w:rFonts w:hint="default" w:ascii="Times New Roman" w:hAnsi="Times New Roman" w:eastAsia="仿宋_GB2312" w:cs="Times New Roman"/>
          <w:color w:val="000000"/>
          <w:sz w:val="28"/>
          <w:szCs w:val="28"/>
          <w:lang w:bidi="zh-CN"/>
        </w:rPr>
        <w:t>=</w:t>
      </w:r>
      <w:r>
        <w:rPr>
          <w:rFonts w:hint="eastAsia" w:ascii="Times New Roman" w:hAnsi="Times New Roman" w:eastAsia="仿宋_GB2312" w:cs="Times New Roman"/>
          <w:color w:val="000000"/>
          <w:sz w:val="28"/>
          <w:szCs w:val="28"/>
          <w:lang w:bidi="zh-CN"/>
        </w:rPr>
        <w:t>（</w:t>
      </w:r>
      <w:r>
        <w:rPr>
          <w:rFonts w:hint="default" w:ascii="Times New Roman" w:hAnsi="Times New Roman" w:eastAsia="仿宋_GB2312" w:cs="Times New Roman"/>
          <w:color w:val="000000"/>
          <w:sz w:val="28"/>
          <w:szCs w:val="28"/>
          <w:lang w:bidi="zh-CN"/>
        </w:rPr>
        <w:t>Q</w:t>
      </w:r>
      <w:r>
        <w:rPr>
          <w:rFonts w:hint="default" w:ascii="Times New Roman" w:hAnsi="Times New Roman" w:eastAsia="仿宋_GB2312" w:cs="Times New Roman"/>
          <w:color w:val="000000"/>
          <w:sz w:val="28"/>
          <w:szCs w:val="28"/>
          <w:vertAlign w:val="subscript"/>
          <w:lang w:bidi="zh-CN"/>
        </w:rPr>
        <w:t>t1</w:t>
      </w:r>
      <w:r>
        <w:rPr>
          <w:rFonts w:hint="default" w:ascii="Times New Roman" w:hAnsi="Times New Roman" w:eastAsia="仿宋_GB2312" w:cs="Times New Roman"/>
          <w:color w:val="000000"/>
          <w:sz w:val="28"/>
          <w:szCs w:val="28"/>
          <w:lang w:bidi="zh-CN"/>
        </w:rPr>
        <w:t>+ Q</w:t>
      </w:r>
      <w:r>
        <w:rPr>
          <w:rFonts w:hint="default" w:ascii="Times New Roman" w:hAnsi="Times New Roman" w:eastAsia="仿宋_GB2312" w:cs="Times New Roman"/>
          <w:color w:val="000000"/>
          <w:sz w:val="28"/>
          <w:szCs w:val="28"/>
          <w:vertAlign w:val="subscript"/>
          <w:lang w:bidi="zh-CN"/>
        </w:rPr>
        <w:t>t2</w:t>
      </w:r>
      <w:r>
        <w:rPr>
          <w:rFonts w:hint="default" w:ascii="Times New Roman" w:hAnsi="Times New Roman" w:eastAsia="仿宋_GB2312" w:cs="Times New Roman"/>
          <w:color w:val="000000"/>
          <w:sz w:val="28"/>
          <w:szCs w:val="28"/>
          <w:lang w:bidi="zh-CN"/>
        </w:rPr>
        <w:t>+ Q</w:t>
      </w:r>
      <w:r>
        <w:rPr>
          <w:rFonts w:hint="default" w:ascii="Times New Roman" w:hAnsi="Times New Roman" w:eastAsia="仿宋_GB2312" w:cs="Times New Roman"/>
          <w:color w:val="000000"/>
          <w:sz w:val="28"/>
          <w:szCs w:val="28"/>
          <w:vertAlign w:val="subscript"/>
          <w:lang w:bidi="zh-CN"/>
        </w:rPr>
        <w:t>t3</w:t>
      </w:r>
      <w:r>
        <w:rPr>
          <w:rFonts w:hint="default" w:ascii="Times New Roman" w:hAnsi="Times New Roman" w:eastAsia="仿宋_GB2312" w:cs="Times New Roman"/>
          <w:color w:val="000000"/>
          <w:sz w:val="28"/>
          <w:szCs w:val="28"/>
          <w:lang w:bidi="zh-CN"/>
        </w:rPr>
        <w:t xml:space="preserve">+……+ </w:t>
      </w:r>
      <w:r>
        <w:rPr>
          <w:rFonts w:hint="default" w:ascii="Times New Roman" w:hAnsi="Times New Roman" w:eastAsia="仿宋_GB2312" w:cs="Times New Roman"/>
          <w:color w:val="000000"/>
          <w:sz w:val="28"/>
          <w:szCs w:val="28"/>
          <w:lang w:val="zh-CN" w:bidi="zh-CN"/>
        </w:rPr>
        <w:t>Q</w:t>
      </w:r>
      <w:r>
        <w:rPr>
          <w:rFonts w:hint="default" w:ascii="Times New Roman" w:hAnsi="Times New Roman" w:eastAsia="仿宋_GB2312" w:cs="Times New Roman"/>
          <w:color w:val="000000"/>
          <w:sz w:val="28"/>
          <w:szCs w:val="28"/>
          <w:vertAlign w:val="subscript"/>
          <w:lang w:val="zh-CN" w:bidi="zh-CN"/>
        </w:rPr>
        <w:t>tn</w:t>
      </w:r>
      <w:r>
        <w:rPr>
          <w:rFonts w:hint="eastAsia" w:ascii="Times New Roman" w:hAnsi="Times New Roman" w:eastAsia="仿宋_GB2312" w:cs="Times New Roman"/>
          <w:color w:val="000000"/>
          <w:sz w:val="28"/>
          <w:szCs w:val="28"/>
          <w:lang w:val="zh-CN" w:bidi="zh-CN"/>
        </w:rPr>
        <w:t>）</w:t>
      </w:r>
      <w:r>
        <w:rPr>
          <w:rFonts w:hint="default" w:ascii="Times New Roman" w:hAnsi="Times New Roman" w:eastAsia="仿宋_GB2312" w:cs="Times New Roman"/>
          <w:color w:val="000000"/>
          <w:sz w:val="28"/>
          <w:szCs w:val="28"/>
          <w:lang w:val="zh-CN" w:bidi="zh-CN"/>
        </w:rPr>
        <w:t xml:space="preserve">/n     </w:t>
      </w:r>
      <w:r>
        <w:rPr>
          <w:rFonts w:hint="default" w:ascii="Times New Roman" w:hAnsi="Times New Roman" w:eastAsia="仿宋_GB2312" w:cs="Times New Roman"/>
          <w:color w:val="000000"/>
          <w:sz w:val="28"/>
          <w:szCs w:val="28"/>
          <w:lang w:bidi="zh-CN"/>
        </w:rPr>
        <w:t xml:space="preserve">    </w:t>
      </w:r>
      <w:r>
        <w:rPr>
          <w:rFonts w:hint="default" w:ascii="Times New Roman" w:hAnsi="Times New Roman" w:eastAsia="仿宋_GB2312" w:cs="Times New Roman"/>
          <w:color w:val="000000"/>
          <w:sz w:val="28"/>
          <w:szCs w:val="28"/>
          <w:lang w:val="zh-CN" w:bidi="zh-CN"/>
        </w:rPr>
        <w:t xml:space="preserve">   （b）</w:t>
      </w:r>
    </w:p>
    <w:p w14:paraId="6000E864">
      <w:pPr>
        <w:numPr>
          <w:ilvl w:val="1"/>
          <w:numId w:val="0"/>
        </w:numPr>
        <w:spacing w:line="360" w:lineRule="auto"/>
        <w:ind w:firstLine="1120" w:firstLineChars="400"/>
        <w:rPr>
          <w:rFonts w:hint="default" w:ascii="Times New Roman" w:hAnsi="Times New Roman" w:eastAsia="仿宋_GB2312" w:cs="Times New Roman"/>
          <w:color w:val="000000"/>
          <w:sz w:val="28"/>
          <w:szCs w:val="36"/>
          <w:lang w:val="zh-CN" w:bidi="zh-CN"/>
        </w:rPr>
      </w:pPr>
      <w:r>
        <w:rPr>
          <w:rFonts w:hint="default" w:ascii="Times New Roman" w:hAnsi="Times New Roman" w:eastAsia="仿宋_GB2312" w:cs="Times New Roman"/>
          <w:color w:val="000000"/>
          <w:sz w:val="28"/>
          <w:szCs w:val="36"/>
          <w:lang w:val="zh-CN" w:bidi="zh-CN"/>
        </w:rPr>
        <w:t>Q</w:t>
      </w:r>
      <w:r>
        <w:rPr>
          <w:rFonts w:hint="default" w:ascii="Times New Roman" w:hAnsi="Times New Roman" w:eastAsia="仿宋_GB2312" w:cs="Times New Roman"/>
          <w:color w:val="000000"/>
          <w:sz w:val="28"/>
          <w:szCs w:val="28"/>
          <w:vertAlign w:val="subscript"/>
          <w:lang w:val="zh-CN" w:bidi="zh-CN"/>
        </w:rPr>
        <w:t>Tj</w:t>
      </w:r>
      <w:r>
        <w:rPr>
          <w:rFonts w:hint="default" w:ascii="Times New Roman" w:hAnsi="Times New Roman" w:eastAsia="仿宋_GB2312" w:cs="Times New Roman"/>
          <w:color w:val="000000"/>
          <w:sz w:val="28"/>
          <w:szCs w:val="36"/>
          <w:lang w:val="zh-CN" w:bidi="zh-CN"/>
        </w:rPr>
        <w:t>——第j个一级目标维度的满意度分值（分）；</w:t>
      </w:r>
    </w:p>
    <w:p w14:paraId="1B020067">
      <w:pPr>
        <w:numPr>
          <w:ilvl w:val="1"/>
          <w:numId w:val="0"/>
        </w:numPr>
        <w:spacing w:line="360" w:lineRule="auto"/>
        <w:ind w:firstLine="1280" w:firstLineChars="400"/>
        <w:rPr>
          <w:rFonts w:hint="default" w:ascii="Times New Roman" w:hAnsi="Times New Roman" w:eastAsia="仿宋_GB2312" w:cs="Times New Roman"/>
          <w:color w:val="000000"/>
          <w:sz w:val="32"/>
          <w:szCs w:val="32"/>
          <w:lang w:val="zh-CN" w:bidi="zh-CN"/>
        </w:rPr>
      </w:pPr>
      <w:r>
        <w:rPr>
          <w:rFonts w:hint="default" w:ascii="Times New Roman" w:hAnsi="Times New Roman" w:eastAsia="仿宋_GB2312" w:cs="Times New Roman"/>
          <w:color w:val="000000"/>
          <w:sz w:val="32"/>
          <w:szCs w:val="32"/>
          <w:lang w:val="zh-CN" w:bidi="zh-CN"/>
        </w:rPr>
        <w:t>Q</w:t>
      </w:r>
      <w:r>
        <w:rPr>
          <w:rFonts w:hint="default" w:ascii="Times New Roman" w:hAnsi="Times New Roman" w:eastAsia="仿宋_GB2312" w:cs="Times New Roman"/>
          <w:color w:val="000000"/>
          <w:sz w:val="32"/>
          <w:szCs w:val="32"/>
          <w:vertAlign w:val="subscript"/>
          <w:lang w:val="zh-CN" w:bidi="zh-CN"/>
        </w:rPr>
        <w:t>tn</w:t>
      </w:r>
      <w:r>
        <w:rPr>
          <w:rFonts w:hint="default" w:ascii="Times New Roman" w:hAnsi="Times New Roman" w:eastAsia="仿宋_GB2312" w:cs="Times New Roman"/>
          <w:color w:val="000000"/>
          <w:sz w:val="32"/>
          <w:szCs w:val="32"/>
          <w:lang w:val="zh-CN" w:bidi="zh-CN"/>
        </w:rPr>
        <w:t>——第j个一级目标维度下的第n项二级指标满意度分值（分）。</w:t>
      </w:r>
    </w:p>
    <w:p w14:paraId="588A7E8B">
      <w:pPr>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（7）总体社会满意度计算通过计算一级指标得分的平均值得出，应按本标准公式（c）计算。</w:t>
      </w:r>
    </w:p>
    <w:p w14:paraId="521B27FB">
      <w:pPr>
        <w:spacing w:line="360" w:lineRule="auto"/>
        <w:jc w:val="center"/>
        <w:rPr>
          <w:rFonts w:hint="default" w:ascii="Times New Roman" w:hAnsi="Times New Roman" w:eastAsia="仿宋_GB2312" w:cs="Times New Roman"/>
          <w:color w:val="000000"/>
          <w:sz w:val="28"/>
          <w:szCs w:val="28"/>
          <w:lang w:bidi="zh-CN"/>
        </w:rPr>
      </w:pPr>
      <w:r>
        <w:rPr>
          <w:rFonts w:hint="default" w:ascii="Times New Roman" w:hAnsi="Times New Roman" w:eastAsia="仿宋_GB2312" w:cs="Times New Roman"/>
          <w:color w:val="000000"/>
          <w:sz w:val="28"/>
          <w:szCs w:val="28"/>
          <w:lang w:bidi="zh-CN"/>
        </w:rPr>
        <w:t xml:space="preserve">              Q</w:t>
      </w:r>
      <w:r>
        <w:rPr>
          <w:rFonts w:hint="default" w:ascii="Times New Roman" w:hAnsi="Times New Roman" w:eastAsia="仿宋_GB2312" w:cs="Times New Roman"/>
          <w:color w:val="000000"/>
          <w:sz w:val="28"/>
          <w:szCs w:val="28"/>
          <w:vertAlign w:val="subscript"/>
          <w:lang w:bidi="zh-CN"/>
        </w:rPr>
        <w:t>z</w:t>
      </w:r>
      <w:r>
        <w:rPr>
          <w:rFonts w:hint="default" w:ascii="Times New Roman" w:hAnsi="Times New Roman" w:eastAsia="仿宋_GB2312" w:cs="Times New Roman"/>
          <w:color w:val="000000"/>
          <w:sz w:val="28"/>
          <w:szCs w:val="28"/>
          <w:lang w:bidi="zh-CN"/>
        </w:rPr>
        <w:t>=</w:t>
      </w:r>
      <w:r>
        <w:rPr>
          <w:rFonts w:hint="eastAsia" w:ascii="Times New Roman" w:hAnsi="Times New Roman" w:eastAsia="仿宋_GB2312" w:cs="Times New Roman"/>
          <w:color w:val="000000"/>
          <w:sz w:val="28"/>
          <w:szCs w:val="28"/>
          <w:lang w:bidi="zh-CN"/>
        </w:rPr>
        <w:t>（</w:t>
      </w:r>
      <w:r>
        <w:rPr>
          <w:rFonts w:hint="default" w:ascii="Times New Roman" w:hAnsi="Times New Roman" w:eastAsia="仿宋_GB2312" w:cs="Times New Roman"/>
          <w:color w:val="000000"/>
          <w:sz w:val="28"/>
          <w:szCs w:val="28"/>
          <w:lang w:bidi="zh-CN"/>
        </w:rPr>
        <w:t>Q</w:t>
      </w:r>
      <w:r>
        <w:rPr>
          <w:rFonts w:hint="default" w:ascii="Times New Roman" w:hAnsi="Times New Roman" w:eastAsia="仿宋_GB2312" w:cs="Times New Roman"/>
          <w:color w:val="000000"/>
          <w:sz w:val="28"/>
          <w:szCs w:val="28"/>
          <w:vertAlign w:val="subscript"/>
          <w:lang w:bidi="zh-CN"/>
        </w:rPr>
        <w:t>T1</w:t>
      </w:r>
      <w:r>
        <w:rPr>
          <w:rFonts w:hint="default" w:ascii="Times New Roman" w:hAnsi="Times New Roman" w:eastAsia="仿宋_GB2312" w:cs="Times New Roman"/>
          <w:color w:val="000000"/>
          <w:sz w:val="28"/>
          <w:szCs w:val="28"/>
          <w:lang w:bidi="zh-CN"/>
        </w:rPr>
        <w:t>+Q</w:t>
      </w:r>
      <w:r>
        <w:rPr>
          <w:rFonts w:hint="default" w:ascii="Times New Roman" w:hAnsi="Times New Roman" w:eastAsia="仿宋_GB2312" w:cs="Times New Roman"/>
          <w:color w:val="000000"/>
          <w:sz w:val="28"/>
          <w:szCs w:val="28"/>
          <w:vertAlign w:val="subscript"/>
          <w:lang w:bidi="zh-CN"/>
        </w:rPr>
        <w:t>T2</w:t>
      </w:r>
      <w:r>
        <w:rPr>
          <w:rFonts w:hint="default" w:ascii="Times New Roman" w:hAnsi="Times New Roman" w:eastAsia="仿宋_GB2312" w:cs="Times New Roman"/>
          <w:color w:val="000000"/>
          <w:sz w:val="28"/>
          <w:szCs w:val="28"/>
          <w:lang w:bidi="zh-CN"/>
        </w:rPr>
        <w:t>+Q</w:t>
      </w:r>
      <w:r>
        <w:rPr>
          <w:rFonts w:hint="default" w:ascii="Times New Roman" w:hAnsi="Times New Roman" w:eastAsia="仿宋_GB2312" w:cs="Times New Roman"/>
          <w:color w:val="000000"/>
          <w:sz w:val="28"/>
          <w:szCs w:val="28"/>
          <w:vertAlign w:val="subscript"/>
          <w:lang w:bidi="zh-CN"/>
        </w:rPr>
        <w:t>T3</w:t>
      </w:r>
      <w:r>
        <w:rPr>
          <w:rFonts w:hint="default" w:ascii="Times New Roman" w:hAnsi="Times New Roman" w:eastAsia="仿宋_GB2312" w:cs="Times New Roman"/>
          <w:color w:val="000000"/>
          <w:sz w:val="28"/>
          <w:szCs w:val="28"/>
          <w:lang w:bidi="zh-CN"/>
        </w:rPr>
        <w:t>+……+Q</w:t>
      </w:r>
      <w:r>
        <w:rPr>
          <w:rFonts w:hint="default" w:ascii="Times New Roman" w:hAnsi="Times New Roman" w:eastAsia="仿宋_GB2312" w:cs="Times New Roman"/>
          <w:color w:val="000000"/>
          <w:sz w:val="28"/>
          <w:szCs w:val="28"/>
          <w:vertAlign w:val="subscript"/>
          <w:lang w:bidi="zh-CN"/>
        </w:rPr>
        <w:t>Tn</w:t>
      </w:r>
      <w:r>
        <w:rPr>
          <w:rFonts w:hint="eastAsia" w:ascii="Times New Roman" w:hAnsi="Times New Roman" w:eastAsia="仿宋_GB2312" w:cs="Times New Roman"/>
          <w:color w:val="000000"/>
          <w:sz w:val="28"/>
          <w:szCs w:val="28"/>
          <w:lang w:bidi="zh-CN"/>
        </w:rPr>
        <w:t>）</w:t>
      </w:r>
      <w:r>
        <w:rPr>
          <w:rFonts w:hint="default" w:ascii="Times New Roman" w:hAnsi="Times New Roman" w:eastAsia="仿宋_GB2312" w:cs="Times New Roman"/>
          <w:color w:val="000000"/>
          <w:sz w:val="28"/>
          <w:szCs w:val="28"/>
          <w:lang w:bidi="zh-CN"/>
        </w:rPr>
        <w:t>/n             （c）</w:t>
      </w:r>
    </w:p>
    <w:p w14:paraId="51C89FE2">
      <w:pPr>
        <w:spacing w:line="360" w:lineRule="auto"/>
        <w:jc w:val="center"/>
        <w:rPr>
          <w:rFonts w:hint="default" w:ascii="Times New Roman" w:hAnsi="Times New Roman" w:eastAsia="仿宋_GB2312" w:cs="Times New Roman"/>
          <w:color w:val="000000"/>
          <w:sz w:val="28"/>
          <w:szCs w:val="36"/>
          <w:lang w:val="zh-CN" w:bidi="zh-CN"/>
        </w:rPr>
      </w:pPr>
      <w:r>
        <w:rPr>
          <w:rFonts w:hint="eastAsia" w:ascii="Times New Roman" w:hAnsi="Times New Roman" w:eastAsia="仿宋_GB2312" w:cs="Times New Roman"/>
          <w:color w:val="000000"/>
          <w:sz w:val="28"/>
          <w:szCs w:val="28"/>
          <w:lang w:val="en-US" w:bidi="zh-CN"/>
        </w:rPr>
        <w:t xml:space="preserve">     </w:t>
      </w:r>
      <w:r>
        <w:rPr>
          <w:rFonts w:hint="default" w:ascii="Times New Roman" w:hAnsi="Times New Roman" w:eastAsia="仿宋_GB2312" w:cs="Times New Roman"/>
          <w:color w:val="000000"/>
          <w:sz w:val="28"/>
          <w:szCs w:val="36"/>
          <w:lang w:val="zh-CN" w:bidi="zh-CN"/>
        </w:rPr>
        <w:t>Q</w:t>
      </w:r>
      <w:r>
        <w:rPr>
          <w:rFonts w:hint="default" w:ascii="Times New Roman" w:hAnsi="Times New Roman" w:eastAsia="仿宋_GB2312" w:cs="Times New Roman"/>
          <w:color w:val="000000"/>
          <w:sz w:val="28"/>
          <w:szCs w:val="28"/>
          <w:vertAlign w:val="subscript"/>
          <w:lang w:val="zh-CN" w:bidi="zh-CN"/>
        </w:rPr>
        <w:t>z</w:t>
      </w:r>
      <w:r>
        <w:rPr>
          <w:rFonts w:hint="default" w:ascii="Times New Roman" w:hAnsi="Times New Roman" w:eastAsia="仿宋_GB2312" w:cs="Times New Roman"/>
          <w:color w:val="000000"/>
          <w:sz w:val="28"/>
          <w:szCs w:val="36"/>
          <w:lang w:val="zh-CN" w:bidi="zh-CN"/>
        </w:rPr>
        <w:t>——城市体检总体满意度评价的分值（分）；</w:t>
      </w:r>
    </w:p>
    <w:p w14:paraId="4E489A22">
      <w:pPr>
        <w:tabs>
          <w:tab w:val="left" w:pos="1260"/>
        </w:tabs>
        <w:spacing w:line="360" w:lineRule="auto"/>
        <w:jc w:val="center"/>
        <w:rPr>
          <w:rFonts w:hint="default" w:ascii="Times New Roman" w:hAnsi="Times New Roman" w:eastAsia="仿宋_GB2312" w:cs="Times New Roman"/>
          <w:color w:val="000000"/>
          <w:sz w:val="40"/>
          <w:szCs w:val="24"/>
        </w:rPr>
      </w:pPr>
      <w:r>
        <w:rPr>
          <w:rFonts w:hint="eastAsia" w:ascii="Times New Roman" w:hAnsi="Times New Roman" w:eastAsia="仿宋_GB2312" w:cs="Times New Roman"/>
          <w:color w:val="000000"/>
          <w:sz w:val="28"/>
          <w:szCs w:val="36"/>
          <w:lang w:val="en-US" w:bidi="zh-CN"/>
        </w:rPr>
        <w:t xml:space="preserve">      </w:t>
      </w:r>
      <w:r>
        <w:rPr>
          <w:rFonts w:hint="default" w:ascii="Times New Roman" w:hAnsi="Times New Roman" w:eastAsia="仿宋_GB2312" w:cs="Times New Roman"/>
          <w:color w:val="000000"/>
          <w:sz w:val="28"/>
          <w:szCs w:val="36"/>
          <w:lang w:val="zh-CN" w:bidi="zh-CN"/>
        </w:rPr>
        <w:t>Q</w:t>
      </w:r>
      <w:r>
        <w:rPr>
          <w:rFonts w:hint="default" w:ascii="Times New Roman" w:hAnsi="Times New Roman" w:eastAsia="仿宋_GB2312" w:cs="Times New Roman"/>
          <w:color w:val="000000"/>
          <w:sz w:val="28"/>
          <w:szCs w:val="28"/>
          <w:vertAlign w:val="subscript"/>
          <w:lang w:val="zh-CN" w:bidi="zh-CN"/>
        </w:rPr>
        <w:t>Tn</w:t>
      </w:r>
      <w:r>
        <w:rPr>
          <w:rFonts w:hint="default" w:ascii="Times New Roman" w:hAnsi="Times New Roman" w:eastAsia="仿宋_GB2312" w:cs="Times New Roman"/>
          <w:color w:val="000000"/>
          <w:sz w:val="28"/>
          <w:szCs w:val="36"/>
          <w:lang w:val="zh-CN" w:bidi="zh-CN"/>
        </w:rPr>
        <w:t>——第n项一级目标维度满意度分值（分）。</w:t>
      </w:r>
    </w:p>
    <w:p w14:paraId="4F79CE3B">
      <w:pPr>
        <w:spacing w:line="360" w:lineRule="auto"/>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第六章 分析评价</w:t>
      </w:r>
    </w:p>
    <w:p w14:paraId="1171E71F">
      <w:pPr>
        <w:spacing w:line="360" w:lineRule="auto"/>
        <w:ind w:firstLine="640" w:firstLineChars="200"/>
        <w:rPr>
          <w:rFonts w:hint="default" w:ascii="Times New Roman" w:hAnsi="Times New Roman" w:eastAsia="仿宋_GB2312" w:cs="Times New Roman"/>
          <w:color w:val="000000"/>
          <w:sz w:val="32"/>
          <w:szCs w:val="32"/>
          <w:lang w:val="zh-CN" w:bidi="zh-CN"/>
        </w:rPr>
      </w:pPr>
      <w:r>
        <w:rPr>
          <w:rFonts w:hint="default" w:ascii="Times New Roman" w:hAnsi="Times New Roman" w:eastAsia="仿宋_GB2312" w:cs="Times New Roman"/>
          <w:color w:val="000000"/>
          <w:sz w:val="32"/>
          <w:szCs w:val="32"/>
          <w:lang w:val="zh-CN" w:bidi="zh-CN"/>
        </w:rPr>
        <w:t>（1）社会满意度调查应分析评价各项指标，综合评价目标维度，调查研究社区情况，总结分析开放性提案，总体评价居民对体检城市建设成效及问题短板整治的满意程度。</w:t>
      </w:r>
    </w:p>
    <w:p w14:paraId="7A552606">
      <w:pPr>
        <w:spacing w:line="360" w:lineRule="auto"/>
        <w:ind w:firstLine="640" w:firstLineChars="200"/>
        <w:rPr>
          <w:rFonts w:hint="default" w:ascii="Times New Roman" w:hAnsi="Times New Roman" w:eastAsia="仿宋_GB2312" w:cs="Times New Roman"/>
          <w:color w:val="000000"/>
          <w:sz w:val="32"/>
          <w:szCs w:val="32"/>
          <w:lang w:val="zh-CN" w:bidi="zh-CN"/>
        </w:rPr>
      </w:pPr>
      <w:r>
        <w:rPr>
          <w:rFonts w:hint="default" w:ascii="Times New Roman" w:hAnsi="Times New Roman" w:eastAsia="仿宋_GB2312" w:cs="Times New Roman"/>
          <w:color w:val="000000"/>
          <w:sz w:val="32"/>
          <w:szCs w:val="32"/>
          <w:lang w:val="zh-CN" w:bidi="zh-CN"/>
        </w:rPr>
        <w:t>（2）社会满意度调查宜与对标城市进行横向对比分析评价；上年度已开展社会满意度调查的，宜进行纵向对比，明晰变化趋势。</w:t>
      </w:r>
    </w:p>
    <w:p w14:paraId="44D33BFA">
      <w:pPr>
        <w:spacing w:line="360" w:lineRule="auto"/>
        <w:ind w:firstLine="640" w:firstLineChars="200"/>
        <w:rPr>
          <w:rFonts w:hint="default" w:ascii="Times New Roman" w:hAnsi="Times New Roman" w:eastAsia="仿宋_GB2312" w:cs="Times New Roman"/>
          <w:color w:val="000000"/>
          <w:sz w:val="32"/>
          <w:szCs w:val="32"/>
          <w:lang w:val="zh-CN" w:bidi="zh-CN"/>
        </w:rPr>
      </w:pPr>
      <w:r>
        <w:rPr>
          <w:rFonts w:hint="default" w:ascii="Times New Roman" w:hAnsi="Times New Roman" w:eastAsia="仿宋_GB2312" w:cs="Times New Roman"/>
          <w:color w:val="000000"/>
          <w:sz w:val="32"/>
          <w:szCs w:val="32"/>
          <w:lang w:val="zh-CN" w:bidi="zh-CN"/>
        </w:rPr>
        <w:t>（3）社会满意度调查应强化空间分析评价，识别居民关切城市问题的空间分布，包括市辖区、建成区、街道、社区等空间维度。</w:t>
      </w:r>
    </w:p>
    <w:p w14:paraId="4D7F016E">
      <w:pPr>
        <w:spacing w:line="360" w:lineRule="auto"/>
        <w:ind w:firstLine="640" w:firstLineChars="200"/>
        <w:rPr>
          <w:rFonts w:hint="default" w:ascii="Times New Roman" w:hAnsi="Times New Roman" w:eastAsia="仿宋_GB2312" w:cs="Times New Roman"/>
          <w:color w:val="000000"/>
          <w:sz w:val="32"/>
          <w:szCs w:val="32"/>
          <w:lang w:val="zh-CN" w:bidi="zh-CN"/>
        </w:rPr>
      </w:pPr>
      <w:r>
        <w:rPr>
          <w:rFonts w:hint="default" w:ascii="Times New Roman" w:hAnsi="Times New Roman" w:eastAsia="仿宋_GB2312" w:cs="Times New Roman"/>
          <w:color w:val="000000"/>
          <w:sz w:val="32"/>
          <w:szCs w:val="32"/>
          <w:lang w:val="zh-CN" w:bidi="zh-CN"/>
        </w:rPr>
        <w:t>（4）社会满意度调查宜对不同户籍、不同年龄、不同学历、不同职业、不同家庭年总收入人群的调查特征和满意度评价结果进行分析评价。</w:t>
      </w:r>
    </w:p>
    <w:p w14:paraId="0DCDE40B">
      <w:pPr>
        <w:spacing w:line="360" w:lineRule="auto"/>
        <w:rPr>
          <w:rFonts w:hint="default" w:ascii="Times New Roman" w:hAnsi="Times New Roman" w:eastAsia="仿宋_GB2312" w:cs="Times New Roman"/>
          <w:b/>
          <w:iCs/>
          <w:color w:val="000000"/>
          <w:sz w:val="32"/>
          <w:szCs w:val="32"/>
        </w:rPr>
      </w:pPr>
      <w:r>
        <w:rPr>
          <w:rFonts w:hint="default" w:ascii="Times New Roman" w:hAnsi="Times New Roman" w:eastAsia="仿宋_GB2312" w:cs="Times New Roman"/>
          <w:b/>
          <w:iCs/>
          <w:color w:val="000000"/>
          <w:sz w:val="32"/>
          <w:szCs w:val="32"/>
        </w:rPr>
        <w:t>第七章 成果要求</w:t>
      </w:r>
    </w:p>
    <w:p w14:paraId="0EF73D58">
      <w:pPr>
        <w:spacing w:line="360" w:lineRule="auto"/>
        <w:ind w:firstLine="640" w:firstLineChars="200"/>
        <w:rPr>
          <w:rFonts w:hint="default" w:ascii="Times New Roman" w:hAnsi="Times New Roman" w:eastAsia="仿宋_GB2312" w:cs="Times New Roman"/>
          <w:color w:val="000000"/>
          <w:sz w:val="32"/>
          <w:szCs w:val="32"/>
          <w:lang w:val="zh-CN" w:bidi="zh-CN"/>
        </w:rPr>
      </w:pPr>
      <w:r>
        <w:rPr>
          <w:rFonts w:hint="default" w:ascii="Times New Roman" w:hAnsi="Times New Roman" w:eastAsia="仿宋_GB2312" w:cs="Times New Roman"/>
          <w:color w:val="000000"/>
          <w:sz w:val="32"/>
          <w:szCs w:val="32"/>
          <w:lang w:val="zh-CN" w:bidi="zh-CN"/>
        </w:rPr>
        <w:t>（1）社会满意度调查应单独成章并入城市自体检/第三方体检报告中。</w:t>
      </w:r>
    </w:p>
    <w:p w14:paraId="7298A31F">
      <w:pPr>
        <w:spacing w:line="360" w:lineRule="auto"/>
        <w:ind w:firstLine="640" w:firstLineChars="200"/>
        <w:rPr>
          <w:rFonts w:hint="default" w:ascii="Times New Roman" w:hAnsi="Times New Roman" w:eastAsia="仿宋_GB2312" w:cs="Times New Roman"/>
          <w:color w:val="000000"/>
          <w:sz w:val="32"/>
          <w:szCs w:val="32"/>
          <w:lang w:val="zh-CN" w:bidi="zh-CN"/>
        </w:rPr>
      </w:pPr>
      <w:r>
        <w:rPr>
          <w:rFonts w:hint="default" w:ascii="Times New Roman" w:hAnsi="Times New Roman" w:eastAsia="仿宋_GB2312" w:cs="Times New Roman"/>
          <w:color w:val="000000"/>
          <w:sz w:val="32"/>
          <w:szCs w:val="32"/>
          <w:lang w:val="zh-CN" w:bidi="zh-CN"/>
        </w:rPr>
        <w:t>（2）内容上应包括但不限于总体调查情况（含基本工作概述、调查社区情况等）、分项指标分析评价、总体分析评价（含建设成效、问题短板等）等内容。</w:t>
      </w:r>
    </w:p>
    <w:p w14:paraId="54C2E6B3">
      <w:pPr>
        <w:spacing w:line="360" w:lineRule="auto"/>
        <w:ind w:firstLine="640" w:firstLineChars="200"/>
        <w:rPr>
          <w:rFonts w:hint="default" w:ascii="Times New Roman" w:hAnsi="Times New Roman" w:eastAsia="仿宋_GB2312" w:cs="Times New Roman"/>
          <w:color w:val="000000"/>
          <w:sz w:val="32"/>
          <w:szCs w:val="32"/>
          <w:lang w:val="zh-CN" w:bidi="zh-CN"/>
        </w:rPr>
      </w:pPr>
      <w:r>
        <w:rPr>
          <w:rFonts w:hint="default" w:ascii="Times New Roman" w:hAnsi="Times New Roman" w:eastAsia="仿宋_GB2312" w:cs="Times New Roman"/>
          <w:color w:val="000000"/>
          <w:sz w:val="32"/>
          <w:szCs w:val="32"/>
          <w:lang w:val="zh-CN" w:bidi="zh-CN"/>
        </w:rPr>
        <w:t>（3）图纸表达上应强化调查成果的空间化表达，重点突出居民关切城市问题的空间分布。相关图纸应根据年度社会满意度调查问卷内容进行适时调整。</w:t>
      </w:r>
    </w:p>
    <w:p w14:paraId="00685B94">
      <w:pPr>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sz w:val="32"/>
          <w:szCs w:val="32"/>
          <w:lang w:val="zh-CN" w:bidi="zh-CN"/>
        </w:rPr>
        <w:t>（4）在总体调查情况或总体分析评价等内容介绍中应包括各街道及社区的样本量统计表、得分情况汇总表等</w:t>
      </w:r>
      <w:r>
        <w:rPr>
          <w:rFonts w:hint="default" w:ascii="Times New Roman" w:hAnsi="Times New Roman" w:eastAsia="仿宋_GB2312" w:cs="Times New Roman"/>
          <w:color w:val="000000"/>
          <w:kern w:val="0"/>
          <w:sz w:val="32"/>
          <w:szCs w:val="32"/>
        </w:rPr>
        <w:t>。</w:t>
      </w:r>
    </w:p>
    <w:p w14:paraId="7D0C3FB5">
      <w:pPr>
        <w:pStyle w:val="61"/>
        <w:numPr>
          <w:ilvl w:val="0"/>
          <w:numId w:val="0"/>
        </w:numPr>
        <w:spacing w:before="0" w:beforeLines="0" w:after="0" w:afterLines="0"/>
        <w:ind w:left="420" w:hanging="420"/>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表xx 各街道及社区样本量统计表</w:t>
      </w:r>
    </w:p>
    <w:tbl>
      <w:tblPr>
        <w:tblStyle w:val="28"/>
        <w:tblW w:w="4994"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96"/>
        <w:gridCol w:w="2177"/>
        <w:gridCol w:w="2589"/>
        <w:gridCol w:w="1640"/>
        <w:gridCol w:w="1410"/>
      </w:tblGrid>
      <w:tr w14:paraId="5493FF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tblHeader/>
          <w:jc w:val="center"/>
        </w:trPr>
        <w:tc>
          <w:tcPr>
            <w:tcW w:w="393" w:type="pct"/>
            <w:tcBorders>
              <w:top w:val="single" w:color="auto" w:sz="4" w:space="0"/>
              <w:left w:val="single" w:color="000000" w:sz="4" w:space="0"/>
              <w:bottom w:val="single" w:color="000000" w:sz="4" w:space="0"/>
              <w:right w:val="single" w:color="000000" w:sz="4" w:space="0"/>
              <w:tl2br w:val="nil"/>
              <w:tr2bl w:val="nil"/>
            </w:tcBorders>
            <w:vAlign w:val="center"/>
          </w:tcPr>
          <w:p w14:paraId="4959CC50">
            <w:pPr>
              <w:pStyle w:val="64"/>
              <w:ind w:left="0" w:leftChars="0" w:right="0" w:rightChars="0" w:firstLine="0" w:firstLineChars="0"/>
              <w:jc w:val="center"/>
              <w:rPr>
                <w:rFonts w:hint="default" w:ascii="Times New Roman" w:hAnsi="Times New Roman" w:eastAsia="仿宋_GB2312" w:cs="Times New Roman"/>
                <w:b/>
                <w:bCs/>
                <w:i w:val="0"/>
                <w:iCs w:val="0"/>
                <w:sz w:val="24"/>
                <w:szCs w:val="24"/>
                <w:lang w:bidi="zh-CN"/>
              </w:rPr>
            </w:pPr>
            <w:r>
              <w:rPr>
                <w:rFonts w:hint="default" w:ascii="Times New Roman" w:hAnsi="Times New Roman" w:eastAsia="仿宋_GB2312" w:cs="Times New Roman"/>
                <w:b/>
                <w:bCs/>
                <w:i w:val="0"/>
                <w:iCs w:val="0"/>
                <w:sz w:val="24"/>
                <w:szCs w:val="24"/>
                <w:lang w:bidi="zh-CN"/>
              </w:rPr>
              <w:t>序号</w:t>
            </w:r>
          </w:p>
        </w:tc>
        <w:tc>
          <w:tcPr>
            <w:tcW w:w="1283" w:type="pct"/>
            <w:tcBorders>
              <w:top w:val="single" w:color="auto" w:sz="4" w:space="0"/>
              <w:left w:val="single" w:color="000000" w:sz="4" w:space="0"/>
              <w:bottom w:val="single" w:color="000000" w:sz="4" w:space="0"/>
              <w:right w:val="single" w:color="000000" w:sz="4" w:space="0"/>
              <w:tl2br w:val="nil"/>
              <w:tr2bl w:val="nil"/>
            </w:tcBorders>
            <w:vAlign w:val="center"/>
          </w:tcPr>
          <w:p w14:paraId="6645532B">
            <w:pPr>
              <w:pStyle w:val="64"/>
              <w:ind w:left="0" w:leftChars="0" w:right="0" w:rightChars="0" w:firstLine="0" w:firstLineChars="0"/>
              <w:jc w:val="center"/>
              <w:rPr>
                <w:rFonts w:hint="default" w:ascii="Times New Roman" w:hAnsi="Times New Roman" w:eastAsia="仿宋_GB2312" w:cs="Times New Roman"/>
                <w:b/>
                <w:bCs/>
                <w:i w:val="0"/>
                <w:iCs w:val="0"/>
                <w:sz w:val="24"/>
                <w:szCs w:val="24"/>
                <w:lang w:bidi="zh-CN"/>
              </w:rPr>
            </w:pPr>
            <w:r>
              <w:rPr>
                <w:rFonts w:hint="default" w:ascii="Times New Roman" w:hAnsi="Times New Roman" w:eastAsia="仿宋_GB2312" w:cs="Times New Roman"/>
                <w:b/>
                <w:bCs/>
                <w:i w:val="0"/>
                <w:iCs w:val="0"/>
                <w:sz w:val="24"/>
                <w:szCs w:val="24"/>
                <w:lang w:bidi="zh-CN"/>
              </w:rPr>
              <w:t>街道名称</w:t>
            </w:r>
          </w:p>
        </w:tc>
        <w:tc>
          <w:tcPr>
            <w:tcW w:w="1525" w:type="pct"/>
            <w:tcBorders>
              <w:top w:val="single" w:color="auto" w:sz="4" w:space="0"/>
              <w:left w:val="single" w:color="000000" w:sz="4" w:space="0"/>
              <w:bottom w:val="single" w:color="000000" w:sz="4" w:space="0"/>
              <w:right w:val="single" w:color="auto" w:sz="4" w:space="0"/>
              <w:tl2br w:val="nil"/>
              <w:tr2bl w:val="nil"/>
            </w:tcBorders>
            <w:vAlign w:val="center"/>
          </w:tcPr>
          <w:p w14:paraId="4E2A4FB1">
            <w:pPr>
              <w:pStyle w:val="64"/>
              <w:ind w:left="0" w:leftChars="0" w:right="0" w:rightChars="0" w:firstLine="0" w:firstLineChars="0"/>
              <w:jc w:val="center"/>
              <w:rPr>
                <w:rFonts w:hint="default" w:ascii="Times New Roman" w:hAnsi="Times New Roman" w:eastAsia="仿宋_GB2312" w:cs="Times New Roman"/>
                <w:b/>
                <w:bCs/>
                <w:i w:val="0"/>
                <w:iCs w:val="0"/>
                <w:sz w:val="24"/>
                <w:szCs w:val="24"/>
                <w:lang w:bidi="zh-CN"/>
              </w:rPr>
            </w:pPr>
            <w:r>
              <w:rPr>
                <w:rFonts w:hint="default" w:ascii="Times New Roman" w:hAnsi="Times New Roman" w:eastAsia="仿宋_GB2312" w:cs="Times New Roman"/>
                <w:b/>
                <w:bCs/>
                <w:i w:val="0"/>
                <w:iCs w:val="0"/>
                <w:sz w:val="24"/>
                <w:szCs w:val="24"/>
                <w:lang w:bidi="zh-CN"/>
              </w:rPr>
              <w:t>社区名称</w:t>
            </w:r>
          </w:p>
        </w:tc>
        <w:tc>
          <w:tcPr>
            <w:tcW w:w="967" w:type="pct"/>
            <w:tcBorders>
              <w:top w:val="single" w:color="auto" w:sz="4" w:space="0"/>
              <w:left w:val="single" w:color="auto" w:sz="4" w:space="0"/>
              <w:bottom w:val="single" w:color="auto" w:sz="4" w:space="0"/>
              <w:right w:val="single" w:color="auto" w:sz="4" w:space="0"/>
              <w:tl2br w:val="nil"/>
              <w:tr2bl w:val="nil"/>
            </w:tcBorders>
            <w:vAlign w:val="center"/>
          </w:tcPr>
          <w:p w14:paraId="41BE0194">
            <w:pPr>
              <w:pStyle w:val="64"/>
              <w:ind w:left="0" w:leftChars="0" w:right="0" w:rightChars="0" w:firstLine="0" w:firstLineChars="0"/>
              <w:jc w:val="center"/>
              <w:rPr>
                <w:rFonts w:hint="default" w:ascii="Times New Roman" w:hAnsi="Times New Roman" w:eastAsia="仿宋_GB2312" w:cs="Times New Roman"/>
                <w:b/>
                <w:bCs/>
                <w:i w:val="0"/>
                <w:iCs w:val="0"/>
                <w:sz w:val="24"/>
                <w:szCs w:val="24"/>
                <w:lang w:bidi="zh-CN"/>
              </w:rPr>
            </w:pPr>
            <w:r>
              <w:rPr>
                <w:rFonts w:hint="default" w:ascii="Times New Roman" w:hAnsi="Times New Roman" w:eastAsia="仿宋_GB2312" w:cs="Times New Roman"/>
                <w:b/>
                <w:bCs/>
                <w:i w:val="0"/>
                <w:iCs w:val="0"/>
                <w:sz w:val="24"/>
                <w:szCs w:val="24"/>
                <w:lang w:bidi="zh-CN"/>
              </w:rPr>
              <w:t>样本任务</w:t>
            </w:r>
          </w:p>
          <w:p w14:paraId="6071B685">
            <w:pPr>
              <w:pStyle w:val="64"/>
              <w:ind w:left="0" w:leftChars="0" w:right="0" w:rightChars="0" w:firstLine="0" w:firstLineChars="0"/>
              <w:jc w:val="center"/>
              <w:rPr>
                <w:rFonts w:hint="default" w:ascii="Times New Roman" w:hAnsi="Times New Roman" w:eastAsia="仿宋_GB2312" w:cs="Times New Roman"/>
                <w:b/>
                <w:bCs/>
                <w:i w:val="0"/>
                <w:iCs w:val="0"/>
                <w:sz w:val="24"/>
                <w:szCs w:val="24"/>
                <w:lang w:bidi="zh-CN"/>
              </w:rPr>
            </w:pPr>
            <w:r>
              <w:rPr>
                <w:rFonts w:hint="default" w:ascii="Times New Roman" w:hAnsi="Times New Roman" w:eastAsia="仿宋_GB2312" w:cs="Times New Roman"/>
                <w:b/>
                <w:bCs/>
                <w:i w:val="0"/>
                <w:iCs w:val="0"/>
                <w:sz w:val="24"/>
                <w:szCs w:val="24"/>
                <w:lang w:bidi="zh-CN"/>
              </w:rPr>
              <w:t>数量</w:t>
            </w:r>
          </w:p>
        </w:tc>
        <w:tc>
          <w:tcPr>
            <w:tcW w:w="832" w:type="pct"/>
            <w:tcBorders>
              <w:top w:val="single" w:color="auto" w:sz="4" w:space="0"/>
              <w:left w:val="single" w:color="auto" w:sz="4" w:space="0"/>
              <w:bottom w:val="single" w:color="auto" w:sz="4" w:space="0"/>
              <w:right w:val="single" w:color="auto" w:sz="4" w:space="0"/>
              <w:tl2br w:val="nil"/>
              <w:tr2bl w:val="nil"/>
            </w:tcBorders>
            <w:vAlign w:val="center"/>
          </w:tcPr>
          <w:p w14:paraId="0DDE9FE1">
            <w:pPr>
              <w:pStyle w:val="64"/>
              <w:ind w:left="0" w:leftChars="0" w:right="0" w:rightChars="0" w:firstLine="0" w:firstLineChars="0"/>
              <w:jc w:val="center"/>
              <w:rPr>
                <w:rFonts w:hint="default" w:ascii="Times New Roman" w:hAnsi="Times New Roman" w:eastAsia="仿宋_GB2312" w:cs="Times New Roman"/>
                <w:b/>
                <w:bCs/>
                <w:i w:val="0"/>
                <w:iCs w:val="0"/>
                <w:sz w:val="24"/>
                <w:szCs w:val="24"/>
                <w:lang w:bidi="zh-CN"/>
              </w:rPr>
            </w:pPr>
            <w:r>
              <w:rPr>
                <w:rFonts w:hint="default" w:ascii="Times New Roman" w:hAnsi="Times New Roman" w:eastAsia="仿宋_GB2312" w:cs="Times New Roman"/>
                <w:b/>
                <w:bCs/>
                <w:i w:val="0"/>
                <w:iCs w:val="0"/>
                <w:sz w:val="24"/>
                <w:szCs w:val="24"/>
                <w:lang w:bidi="zh-CN"/>
              </w:rPr>
              <w:t>完成样本数量</w:t>
            </w:r>
          </w:p>
        </w:tc>
      </w:tr>
      <w:tr w14:paraId="44A43D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393" w:type="pct"/>
            <w:tcBorders>
              <w:top w:val="single" w:color="000000" w:sz="4" w:space="0"/>
              <w:left w:val="single" w:color="auto" w:sz="4" w:space="0"/>
              <w:bottom w:val="single" w:color="000000" w:sz="4" w:space="0"/>
              <w:right w:val="single" w:color="000000" w:sz="4" w:space="0"/>
              <w:tl2br w:val="nil"/>
              <w:tr2bl w:val="nil"/>
            </w:tcBorders>
            <w:vAlign w:val="center"/>
          </w:tcPr>
          <w:p w14:paraId="20B70996">
            <w:pPr>
              <w:pStyle w:val="64"/>
              <w:ind w:left="0" w:leftChars="0" w:right="0" w:rightChars="0" w:firstLine="0" w:firstLineChars="0"/>
              <w:jc w:val="center"/>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1</w:t>
            </w:r>
          </w:p>
        </w:tc>
        <w:tc>
          <w:tcPr>
            <w:tcW w:w="1283" w:type="pct"/>
            <w:vMerge w:val="restart"/>
            <w:tcBorders>
              <w:top w:val="single" w:color="000000" w:sz="4" w:space="0"/>
              <w:left w:val="single" w:color="000000" w:sz="4" w:space="0"/>
              <w:right w:val="single" w:color="000000" w:sz="4" w:space="0"/>
              <w:tl2br w:val="nil"/>
              <w:tr2bl w:val="nil"/>
            </w:tcBorders>
            <w:vAlign w:val="center"/>
          </w:tcPr>
          <w:p w14:paraId="5F20DEC8">
            <w:pPr>
              <w:pStyle w:val="64"/>
              <w:ind w:left="0" w:leftChars="0" w:right="0" w:rightChars="0" w:firstLine="0" w:firstLineChars="0"/>
              <w:jc w:val="center"/>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XX街道</w:t>
            </w:r>
          </w:p>
        </w:tc>
        <w:tc>
          <w:tcPr>
            <w:tcW w:w="1525" w:type="pct"/>
            <w:tcBorders>
              <w:top w:val="single" w:color="000000" w:sz="4" w:space="0"/>
              <w:left w:val="single" w:color="000000" w:sz="4" w:space="0"/>
              <w:bottom w:val="single" w:color="000000" w:sz="4" w:space="0"/>
              <w:right w:val="single" w:color="auto" w:sz="4" w:space="0"/>
              <w:tl2br w:val="nil"/>
              <w:tr2bl w:val="nil"/>
            </w:tcBorders>
            <w:vAlign w:val="center"/>
          </w:tcPr>
          <w:p w14:paraId="1E4B321C">
            <w:pPr>
              <w:pStyle w:val="64"/>
              <w:ind w:left="0" w:leftChars="0" w:right="0" w:rightChars="0" w:firstLine="0" w:firstLineChars="0"/>
              <w:jc w:val="center"/>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XX社区</w:t>
            </w:r>
          </w:p>
        </w:tc>
        <w:tc>
          <w:tcPr>
            <w:tcW w:w="967" w:type="pct"/>
            <w:tcBorders>
              <w:top w:val="single" w:color="auto" w:sz="4" w:space="0"/>
              <w:left w:val="single" w:color="auto" w:sz="4" w:space="0"/>
              <w:bottom w:val="single" w:color="auto" w:sz="4" w:space="0"/>
              <w:right w:val="single" w:color="auto" w:sz="4" w:space="0"/>
              <w:tl2br w:val="nil"/>
              <w:tr2bl w:val="nil"/>
            </w:tcBorders>
            <w:vAlign w:val="center"/>
          </w:tcPr>
          <w:p w14:paraId="44975D6D">
            <w:pPr>
              <w:pStyle w:val="64"/>
              <w:ind w:left="0" w:leftChars="0" w:right="0" w:rightChars="0" w:firstLine="0" w:firstLineChars="0"/>
              <w:jc w:val="center"/>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XX</w:t>
            </w:r>
          </w:p>
        </w:tc>
        <w:tc>
          <w:tcPr>
            <w:tcW w:w="832" w:type="pct"/>
            <w:tcBorders>
              <w:top w:val="single" w:color="auto" w:sz="4" w:space="0"/>
              <w:left w:val="single" w:color="auto" w:sz="4" w:space="0"/>
              <w:bottom w:val="single" w:color="auto" w:sz="4" w:space="0"/>
              <w:right w:val="single" w:color="auto" w:sz="4" w:space="0"/>
              <w:tl2br w:val="nil"/>
              <w:tr2bl w:val="nil"/>
            </w:tcBorders>
            <w:vAlign w:val="center"/>
          </w:tcPr>
          <w:p w14:paraId="0CB488A8">
            <w:pPr>
              <w:pStyle w:val="64"/>
              <w:ind w:left="0" w:leftChars="0" w:right="0" w:rightChars="0" w:firstLine="0" w:firstLineChars="0"/>
              <w:jc w:val="center"/>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XX</w:t>
            </w:r>
          </w:p>
        </w:tc>
      </w:tr>
      <w:tr w14:paraId="2B10A4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93" w:type="pct"/>
            <w:tcBorders>
              <w:top w:val="single" w:color="000000" w:sz="4" w:space="0"/>
              <w:left w:val="single" w:color="auto" w:sz="4" w:space="0"/>
              <w:bottom w:val="single" w:color="000000" w:sz="4" w:space="0"/>
              <w:right w:val="single" w:color="000000" w:sz="4" w:space="0"/>
              <w:tl2br w:val="nil"/>
              <w:tr2bl w:val="nil"/>
            </w:tcBorders>
            <w:vAlign w:val="center"/>
          </w:tcPr>
          <w:p w14:paraId="596A05D0">
            <w:pPr>
              <w:pStyle w:val="64"/>
              <w:ind w:left="0" w:leftChars="0" w:right="0" w:rightChars="0" w:firstLine="0" w:firstLineChars="0"/>
              <w:jc w:val="center"/>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2</w:t>
            </w:r>
          </w:p>
        </w:tc>
        <w:tc>
          <w:tcPr>
            <w:tcW w:w="1283" w:type="pct"/>
            <w:vMerge w:val="continue"/>
            <w:tcBorders>
              <w:left w:val="single" w:color="000000" w:sz="4" w:space="0"/>
              <w:bottom w:val="single" w:color="000000" w:sz="4" w:space="0"/>
              <w:right w:val="single" w:color="000000" w:sz="4" w:space="0"/>
              <w:tl2br w:val="nil"/>
              <w:tr2bl w:val="nil"/>
            </w:tcBorders>
            <w:vAlign w:val="center"/>
          </w:tcPr>
          <w:p w14:paraId="3FFB6895">
            <w:pPr>
              <w:pStyle w:val="64"/>
              <w:ind w:left="0" w:leftChars="0" w:right="0" w:rightChars="0" w:firstLine="0" w:firstLineChars="0"/>
              <w:jc w:val="center"/>
              <w:rPr>
                <w:rFonts w:hint="default" w:ascii="Times New Roman" w:hAnsi="Times New Roman" w:eastAsia="仿宋_GB2312" w:cs="Times New Roman"/>
                <w:sz w:val="24"/>
                <w:szCs w:val="24"/>
                <w:lang w:bidi="zh-CN"/>
              </w:rPr>
            </w:pPr>
          </w:p>
        </w:tc>
        <w:tc>
          <w:tcPr>
            <w:tcW w:w="1525" w:type="pct"/>
            <w:tcBorders>
              <w:top w:val="single" w:color="000000" w:sz="4" w:space="0"/>
              <w:left w:val="single" w:color="000000" w:sz="4" w:space="0"/>
              <w:bottom w:val="single" w:color="000000" w:sz="4" w:space="0"/>
              <w:right w:val="single" w:color="auto" w:sz="4" w:space="0"/>
              <w:tl2br w:val="nil"/>
              <w:tr2bl w:val="nil"/>
            </w:tcBorders>
            <w:vAlign w:val="center"/>
          </w:tcPr>
          <w:p w14:paraId="3665E1D7">
            <w:pPr>
              <w:pStyle w:val="64"/>
              <w:ind w:left="0" w:leftChars="0" w:right="0" w:rightChars="0" w:firstLine="0" w:firstLineChars="0"/>
              <w:jc w:val="center"/>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XX社区</w:t>
            </w:r>
          </w:p>
        </w:tc>
        <w:tc>
          <w:tcPr>
            <w:tcW w:w="967" w:type="pct"/>
            <w:tcBorders>
              <w:top w:val="single" w:color="auto" w:sz="4" w:space="0"/>
              <w:left w:val="single" w:color="auto" w:sz="4" w:space="0"/>
              <w:bottom w:val="single" w:color="auto" w:sz="4" w:space="0"/>
              <w:right w:val="single" w:color="auto" w:sz="4" w:space="0"/>
              <w:tl2br w:val="nil"/>
              <w:tr2bl w:val="nil"/>
            </w:tcBorders>
            <w:vAlign w:val="center"/>
          </w:tcPr>
          <w:p w14:paraId="1BF16ED5">
            <w:pPr>
              <w:pStyle w:val="64"/>
              <w:ind w:left="0" w:leftChars="0" w:right="0" w:rightChars="0" w:firstLine="0" w:firstLineChars="0"/>
              <w:jc w:val="center"/>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XX</w:t>
            </w:r>
          </w:p>
        </w:tc>
        <w:tc>
          <w:tcPr>
            <w:tcW w:w="832" w:type="pct"/>
            <w:tcBorders>
              <w:top w:val="single" w:color="auto" w:sz="4" w:space="0"/>
              <w:left w:val="single" w:color="auto" w:sz="4" w:space="0"/>
              <w:bottom w:val="single" w:color="auto" w:sz="4" w:space="0"/>
              <w:right w:val="single" w:color="auto" w:sz="4" w:space="0"/>
              <w:tl2br w:val="nil"/>
              <w:tr2bl w:val="nil"/>
            </w:tcBorders>
            <w:vAlign w:val="center"/>
          </w:tcPr>
          <w:p w14:paraId="092F2023">
            <w:pPr>
              <w:pStyle w:val="64"/>
              <w:ind w:left="0" w:leftChars="0" w:right="0" w:rightChars="0" w:firstLine="0" w:firstLineChars="0"/>
              <w:jc w:val="center"/>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XX</w:t>
            </w:r>
          </w:p>
        </w:tc>
      </w:tr>
      <w:tr w14:paraId="26E23A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93" w:type="pct"/>
            <w:tcBorders>
              <w:top w:val="single" w:color="000000" w:sz="4" w:space="0"/>
              <w:left w:val="single" w:color="auto" w:sz="4" w:space="0"/>
              <w:bottom w:val="single" w:color="000000" w:sz="4" w:space="0"/>
              <w:right w:val="single" w:color="000000" w:sz="4" w:space="0"/>
              <w:tl2br w:val="nil"/>
              <w:tr2bl w:val="nil"/>
            </w:tcBorders>
            <w:vAlign w:val="center"/>
          </w:tcPr>
          <w:p w14:paraId="7F977F37">
            <w:pPr>
              <w:pStyle w:val="64"/>
              <w:ind w:left="0" w:leftChars="0" w:right="0" w:rightChars="0" w:firstLine="0" w:firstLineChars="0"/>
              <w:jc w:val="center"/>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1283" w:type="pct"/>
            <w:vMerge w:val="restart"/>
            <w:tcBorders>
              <w:top w:val="single" w:color="000000" w:sz="4" w:space="0"/>
              <w:left w:val="single" w:color="000000" w:sz="4" w:space="0"/>
              <w:right w:val="single" w:color="000000" w:sz="4" w:space="0"/>
              <w:tl2br w:val="nil"/>
              <w:tr2bl w:val="nil"/>
            </w:tcBorders>
            <w:vAlign w:val="center"/>
          </w:tcPr>
          <w:p w14:paraId="1162C286">
            <w:pPr>
              <w:pStyle w:val="64"/>
              <w:ind w:left="0" w:leftChars="0" w:right="0" w:rightChars="0" w:firstLine="0" w:firstLineChars="0"/>
              <w:jc w:val="center"/>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1525" w:type="pct"/>
            <w:tcBorders>
              <w:top w:val="single" w:color="000000" w:sz="4" w:space="0"/>
              <w:left w:val="single" w:color="000000" w:sz="4" w:space="0"/>
              <w:bottom w:val="single" w:color="000000" w:sz="4" w:space="0"/>
              <w:right w:val="single" w:color="auto" w:sz="4" w:space="0"/>
              <w:tl2br w:val="nil"/>
              <w:tr2bl w:val="nil"/>
            </w:tcBorders>
            <w:vAlign w:val="center"/>
          </w:tcPr>
          <w:p w14:paraId="6BF9BDEB">
            <w:pPr>
              <w:pStyle w:val="64"/>
              <w:ind w:left="0" w:leftChars="0" w:right="0" w:rightChars="0" w:firstLine="0" w:firstLineChars="0"/>
              <w:jc w:val="center"/>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967" w:type="pct"/>
            <w:tcBorders>
              <w:top w:val="single" w:color="auto" w:sz="4" w:space="0"/>
              <w:left w:val="single" w:color="auto" w:sz="4" w:space="0"/>
              <w:bottom w:val="single" w:color="auto" w:sz="4" w:space="0"/>
              <w:right w:val="single" w:color="auto" w:sz="4" w:space="0"/>
              <w:tl2br w:val="nil"/>
              <w:tr2bl w:val="nil"/>
            </w:tcBorders>
            <w:vAlign w:val="center"/>
          </w:tcPr>
          <w:p w14:paraId="2EA3740E">
            <w:pPr>
              <w:pStyle w:val="64"/>
              <w:ind w:left="0" w:leftChars="0" w:right="0" w:rightChars="0" w:firstLine="0" w:firstLineChars="0"/>
              <w:jc w:val="center"/>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832" w:type="pct"/>
            <w:tcBorders>
              <w:top w:val="single" w:color="auto" w:sz="4" w:space="0"/>
              <w:left w:val="single" w:color="auto" w:sz="4" w:space="0"/>
              <w:bottom w:val="single" w:color="auto" w:sz="4" w:space="0"/>
              <w:right w:val="single" w:color="auto" w:sz="4" w:space="0"/>
              <w:tl2br w:val="nil"/>
              <w:tr2bl w:val="nil"/>
            </w:tcBorders>
            <w:vAlign w:val="center"/>
          </w:tcPr>
          <w:p w14:paraId="239236B6">
            <w:pPr>
              <w:pStyle w:val="64"/>
              <w:ind w:left="0" w:leftChars="0" w:right="0" w:rightChars="0" w:firstLine="0" w:firstLineChars="0"/>
              <w:jc w:val="center"/>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r>
      <w:tr w14:paraId="28DA2B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93" w:type="pct"/>
            <w:tcBorders>
              <w:top w:val="single" w:color="000000" w:sz="4" w:space="0"/>
              <w:left w:val="single" w:color="auto" w:sz="4" w:space="0"/>
              <w:bottom w:val="single" w:color="000000" w:sz="4" w:space="0"/>
              <w:right w:val="single" w:color="000000" w:sz="4" w:space="0"/>
              <w:tl2br w:val="nil"/>
              <w:tr2bl w:val="nil"/>
            </w:tcBorders>
            <w:vAlign w:val="center"/>
          </w:tcPr>
          <w:p w14:paraId="71FF7407">
            <w:pPr>
              <w:pStyle w:val="64"/>
              <w:ind w:left="0" w:leftChars="0" w:right="0" w:rightChars="0" w:firstLine="0" w:firstLineChars="0"/>
              <w:jc w:val="center"/>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1283" w:type="pct"/>
            <w:vMerge w:val="continue"/>
            <w:tcBorders>
              <w:left w:val="single" w:color="000000" w:sz="4" w:space="0"/>
              <w:bottom w:val="single" w:color="000000" w:sz="4" w:space="0"/>
              <w:right w:val="single" w:color="000000" w:sz="4" w:space="0"/>
              <w:tl2br w:val="nil"/>
              <w:tr2bl w:val="nil"/>
            </w:tcBorders>
            <w:vAlign w:val="center"/>
          </w:tcPr>
          <w:p w14:paraId="338B4FB6">
            <w:pPr>
              <w:pStyle w:val="64"/>
              <w:ind w:left="0" w:leftChars="0" w:right="0" w:rightChars="0" w:firstLine="0" w:firstLineChars="0"/>
              <w:jc w:val="center"/>
              <w:rPr>
                <w:rFonts w:hint="default" w:ascii="Times New Roman" w:hAnsi="Times New Roman" w:eastAsia="仿宋_GB2312" w:cs="Times New Roman"/>
                <w:sz w:val="24"/>
                <w:szCs w:val="24"/>
                <w:lang w:bidi="zh-CN"/>
              </w:rPr>
            </w:pPr>
          </w:p>
        </w:tc>
        <w:tc>
          <w:tcPr>
            <w:tcW w:w="1525" w:type="pct"/>
            <w:tcBorders>
              <w:top w:val="single" w:color="000000" w:sz="4" w:space="0"/>
              <w:left w:val="single" w:color="000000" w:sz="4" w:space="0"/>
              <w:bottom w:val="single" w:color="000000" w:sz="4" w:space="0"/>
              <w:right w:val="single" w:color="auto" w:sz="4" w:space="0"/>
              <w:tl2br w:val="nil"/>
              <w:tr2bl w:val="nil"/>
            </w:tcBorders>
            <w:vAlign w:val="center"/>
          </w:tcPr>
          <w:p w14:paraId="31032E7E">
            <w:pPr>
              <w:pStyle w:val="64"/>
              <w:ind w:left="0" w:leftChars="0" w:right="0" w:rightChars="0" w:firstLine="0" w:firstLineChars="0"/>
              <w:jc w:val="center"/>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967" w:type="pct"/>
            <w:tcBorders>
              <w:top w:val="single" w:color="auto" w:sz="4" w:space="0"/>
              <w:left w:val="single" w:color="auto" w:sz="4" w:space="0"/>
              <w:bottom w:val="single" w:color="auto" w:sz="4" w:space="0"/>
              <w:right w:val="single" w:color="auto" w:sz="4" w:space="0"/>
              <w:tl2br w:val="nil"/>
              <w:tr2bl w:val="nil"/>
            </w:tcBorders>
            <w:vAlign w:val="center"/>
          </w:tcPr>
          <w:p w14:paraId="492FF24F">
            <w:pPr>
              <w:pStyle w:val="64"/>
              <w:ind w:left="0" w:leftChars="0" w:right="0" w:rightChars="0" w:firstLine="0" w:firstLineChars="0"/>
              <w:jc w:val="center"/>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832" w:type="pct"/>
            <w:tcBorders>
              <w:top w:val="single" w:color="auto" w:sz="4" w:space="0"/>
              <w:left w:val="single" w:color="auto" w:sz="4" w:space="0"/>
              <w:bottom w:val="single" w:color="auto" w:sz="4" w:space="0"/>
              <w:right w:val="single" w:color="auto" w:sz="4" w:space="0"/>
              <w:tl2br w:val="nil"/>
              <w:tr2bl w:val="nil"/>
            </w:tcBorders>
            <w:vAlign w:val="center"/>
          </w:tcPr>
          <w:p w14:paraId="76E45F7A">
            <w:pPr>
              <w:pStyle w:val="64"/>
              <w:ind w:left="0" w:leftChars="0" w:right="0" w:rightChars="0" w:firstLine="0" w:firstLineChars="0"/>
              <w:jc w:val="center"/>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r>
    </w:tbl>
    <w:p w14:paraId="3886E7DE">
      <w:pPr>
        <w:pStyle w:val="61"/>
        <w:numPr>
          <w:ilvl w:val="0"/>
          <w:numId w:val="0"/>
        </w:numPr>
        <w:spacing w:before="0" w:beforeLines="0" w:after="0" w:afterLines="0"/>
        <w:ind w:left="420" w:hanging="420"/>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表xx 各街道及社区得分情况汇总表</w:t>
      </w:r>
    </w:p>
    <w:tbl>
      <w:tblPr>
        <w:tblStyle w:val="28"/>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96"/>
        <w:gridCol w:w="787"/>
        <w:gridCol w:w="698"/>
        <w:gridCol w:w="785"/>
        <w:gridCol w:w="456"/>
        <w:gridCol w:w="456"/>
        <w:gridCol w:w="696"/>
        <w:gridCol w:w="456"/>
        <w:gridCol w:w="696"/>
        <w:gridCol w:w="696"/>
        <w:gridCol w:w="707"/>
        <w:gridCol w:w="696"/>
        <w:gridCol w:w="697"/>
      </w:tblGrid>
      <w:tr w14:paraId="23D44A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2" w:hRule="atLeast"/>
          <w:tblHeader/>
          <w:jc w:val="center"/>
        </w:trPr>
        <w:tc>
          <w:tcPr>
            <w:tcW w:w="408" w:type="pct"/>
            <w:vMerge w:val="restart"/>
            <w:tcBorders>
              <w:top w:val="single" w:color="auto" w:sz="4" w:space="0"/>
              <w:left w:val="single" w:color="000000" w:sz="4" w:space="0"/>
              <w:right w:val="single" w:color="000000" w:sz="4" w:space="0"/>
              <w:tl2br w:val="nil"/>
              <w:tr2bl w:val="nil"/>
            </w:tcBorders>
            <w:vAlign w:val="center"/>
          </w:tcPr>
          <w:p w14:paraId="588B0CF4">
            <w:pPr>
              <w:pStyle w:val="64"/>
              <w:ind w:left="0" w:leftChars="0" w:right="0" w:rightChars="0" w:firstLine="0" w:firstLineChars="0"/>
              <w:jc w:val="center"/>
              <w:rPr>
                <w:rFonts w:hint="default" w:ascii="Times New Roman" w:hAnsi="Times New Roman" w:eastAsia="仿宋_GB2312" w:cs="Times New Roman"/>
                <w:b/>
                <w:bCs/>
                <w:sz w:val="24"/>
                <w:szCs w:val="24"/>
                <w:lang w:bidi="zh-CN"/>
              </w:rPr>
            </w:pPr>
            <w:r>
              <w:rPr>
                <w:rFonts w:hint="default" w:ascii="Times New Roman" w:hAnsi="Times New Roman" w:eastAsia="仿宋_GB2312" w:cs="Times New Roman"/>
                <w:b/>
                <w:bCs/>
                <w:sz w:val="24"/>
                <w:szCs w:val="24"/>
                <w:lang w:bidi="zh-CN"/>
              </w:rPr>
              <w:t>序号</w:t>
            </w:r>
          </w:p>
        </w:tc>
        <w:tc>
          <w:tcPr>
            <w:tcW w:w="462" w:type="pct"/>
            <w:vMerge w:val="restart"/>
            <w:tcBorders>
              <w:top w:val="single" w:color="auto" w:sz="4" w:space="0"/>
              <w:left w:val="single" w:color="000000" w:sz="4" w:space="0"/>
              <w:right w:val="single" w:color="000000" w:sz="4" w:space="0"/>
              <w:tl2br w:val="nil"/>
              <w:tr2bl w:val="nil"/>
            </w:tcBorders>
            <w:vAlign w:val="center"/>
          </w:tcPr>
          <w:p w14:paraId="6C68914B">
            <w:pPr>
              <w:pStyle w:val="64"/>
              <w:ind w:left="0" w:leftChars="0" w:right="0" w:rightChars="0" w:firstLine="0" w:firstLineChars="0"/>
              <w:jc w:val="center"/>
              <w:rPr>
                <w:rFonts w:hint="default" w:ascii="Times New Roman" w:hAnsi="Times New Roman" w:eastAsia="仿宋_GB2312" w:cs="Times New Roman"/>
                <w:b/>
                <w:bCs/>
                <w:sz w:val="24"/>
                <w:szCs w:val="24"/>
                <w:lang w:bidi="zh-CN"/>
              </w:rPr>
            </w:pPr>
            <w:r>
              <w:rPr>
                <w:rFonts w:hint="default" w:ascii="Times New Roman" w:hAnsi="Times New Roman" w:eastAsia="仿宋_GB2312" w:cs="Times New Roman"/>
                <w:b/>
                <w:bCs/>
                <w:sz w:val="24"/>
                <w:szCs w:val="24"/>
                <w:lang w:bidi="zh-CN"/>
              </w:rPr>
              <w:t>街道</w:t>
            </w:r>
          </w:p>
          <w:p w14:paraId="7B8B73E6">
            <w:pPr>
              <w:pStyle w:val="64"/>
              <w:ind w:left="0" w:leftChars="0" w:right="0" w:rightChars="0" w:firstLine="0" w:firstLineChars="0"/>
              <w:jc w:val="center"/>
              <w:rPr>
                <w:rFonts w:hint="default" w:ascii="Times New Roman" w:hAnsi="Times New Roman" w:eastAsia="仿宋_GB2312" w:cs="Times New Roman"/>
                <w:b/>
                <w:bCs/>
                <w:sz w:val="24"/>
                <w:szCs w:val="24"/>
                <w:lang w:bidi="zh-CN"/>
              </w:rPr>
            </w:pPr>
            <w:r>
              <w:rPr>
                <w:rFonts w:hint="default" w:ascii="Times New Roman" w:hAnsi="Times New Roman" w:eastAsia="仿宋_GB2312" w:cs="Times New Roman"/>
                <w:b/>
                <w:bCs/>
                <w:sz w:val="24"/>
                <w:szCs w:val="24"/>
                <w:lang w:bidi="zh-CN"/>
              </w:rPr>
              <w:t>名称</w:t>
            </w:r>
          </w:p>
        </w:tc>
        <w:tc>
          <w:tcPr>
            <w:tcW w:w="410" w:type="pct"/>
            <w:vMerge w:val="restart"/>
            <w:tcBorders>
              <w:top w:val="single" w:color="auto" w:sz="4" w:space="0"/>
              <w:left w:val="single" w:color="000000" w:sz="4" w:space="0"/>
              <w:right w:val="single" w:color="000000" w:sz="4" w:space="0"/>
              <w:tl2br w:val="nil"/>
              <w:tr2bl w:val="nil"/>
            </w:tcBorders>
            <w:vAlign w:val="center"/>
          </w:tcPr>
          <w:p w14:paraId="5E3ACA3E">
            <w:pPr>
              <w:pStyle w:val="64"/>
              <w:ind w:left="0" w:leftChars="0" w:right="0" w:rightChars="0" w:firstLine="0" w:firstLineChars="0"/>
              <w:jc w:val="center"/>
              <w:rPr>
                <w:rFonts w:hint="default" w:ascii="Times New Roman" w:hAnsi="Times New Roman" w:eastAsia="仿宋_GB2312" w:cs="Times New Roman"/>
                <w:b/>
                <w:bCs/>
                <w:sz w:val="24"/>
                <w:szCs w:val="24"/>
                <w:lang w:bidi="zh-CN"/>
              </w:rPr>
            </w:pPr>
            <w:r>
              <w:rPr>
                <w:rFonts w:hint="default" w:ascii="Times New Roman" w:hAnsi="Times New Roman" w:eastAsia="仿宋_GB2312" w:cs="Times New Roman"/>
                <w:b/>
                <w:bCs/>
                <w:sz w:val="24"/>
                <w:szCs w:val="24"/>
                <w:lang w:bidi="zh-CN"/>
              </w:rPr>
              <w:t>社区名称</w:t>
            </w:r>
          </w:p>
        </w:tc>
        <w:tc>
          <w:tcPr>
            <w:tcW w:w="2901" w:type="pct"/>
            <w:gridSpan w:val="8"/>
            <w:tcBorders>
              <w:top w:val="single" w:color="auto" w:sz="4" w:space="0"/>
              <w:left w:val="single" w:color="000000" w:sz="4" w:space="0"/>
              <w:bottom w:val="single" w:color="000000" w:sz="4" w:space="0"/>
              <w:right w:val="single" w:color="auto" w:sz="4" w:space="0"/>
              <w:tl2br w:val="nil"/>
              <w:tr2bl w:val="nil"/>
            </w:tcBorders>
            <w:vAlign w:val="center"/>
          </w:tcPr>
          <w:p w14:paraId="6FDD997B">
            <w:pPr>
              <w:pStyle w:val="64"/>
              <w:ind w:left="0" w:leftChars="0" w:right="0" w:rightChars="0" w:firstLine="0" w:firstLineChars="0"/>
              <w:jc w:val="center"/>
              <w:rPr>
                <w:rFonts w:hint="default" w:ascii="Times New Roman" w:hAnsi="Times New Roman" w:eastAsia="仿宋_GB2312" w:cs="Times New Roman"/>
                <w:b/>
                <w:bCs/>
                <w:sz w:val="24"/>
                <w:szCs w:val="24"/>
                <w:lang w:bidi="zh-CN"/>
              </w:rPr>
            </w:pPr>
            <w:r>
              <w:rPr>
                <w:rFonts w:hint="default" w:ascii="Times New Roman" w:hAnsi="Times New Roman" w:eastAsia="仿宋_GB2312" w:cs="Times New Roman"/>
                <w:b/>
                <w:bCs/>
                <w:sz w:val="24"/>
                <w:szCs w:val="24"/>
                <w:lang w:bidi="zh-CN"/>
              </w:rPr>
              <w:t>目标维度得分</w:t>
            </w:r>
          </w:p>
        </w:tc>
        <w:tc>
          <w:tcPr>
            <w:tcW w:w="408" w:type="pct"/>
            <w:vMerge w:val="restart"/>
            <w:tcBorders>
              <w:top w:val="single" w:color="auto" w:sz="4" w:space="0"/>
              <w:left w:val="single" w:color="auto" w:sz="4" w:space="0"/>
              <w:right w:val="single" w:color="auto" w:sz="4" w:space="0"/>
              <w:tl2br w:val="nil"/>
              <w:tr2bl w:val="nil"/>
            </w:tcBorders>
            <w:vAlign w:val="center"/>
          </w:tcPr>
          <w:p w14:paraId="02CA8253">
            <w:pPr>
              <w:pStyle w:val="64"/>
              <w:ind w:left="0" w:leftChars="0" w:right="0" w:rightChars="0" w:firstLine="0" w:firstLineChars="0"/>
              <w:jc w:val="center"/>
              <w:rPr>
                <w:rFonts w:hint="default" w:ascii="Times New Roman" w:hAnsi="Times New Roman" w:eastAsia="仿宋_GB2312" w:cs="Times New Roman"/>
                <w:b/>
                <w:bCs/>
                <w:sz w:val="24"/>
                <w:szCs w:val="24"/>
                <w:lang w:bidi="zh-CN"/>
              </w:rPr>
            </w:pPr>
            <w:r>
              <w:rPr>
                <w:rFonts w:hint="default" w:ascii="Times New Roman" w:hAnsi="Times New Roman" w:eastAsia="仿宋_GB2312" w:cs="Times New Roman"/>
                <w:b/>
                <w:bCs/>
                <w:sz w:val="24"/>
                <w:szCs w:val="24"/>
                <w:lang w:bidi="zh-CN"/>
              </w:rPr>
              <w:t>社区得分</w:t>
            </w:r>
          </w:p>
        </w:tc>
        <w:tc>
          <w:tcPr>
            <w:tcW w:w="408" w:type="pct"/>
            <w:vMerge w:val="restart"/>
            <w:tcBorders>
              <w:top w:val="single" w:color="auto" w:sz="4" w:space="0"/>
              <w:left w:val="single" w:color="auto" w:sz="4" w:space="0"/>
              <w:right w:val="single" w:color="auto" w:sz="4" w:space="0"/>
              <w:tl2br w:val="nil"/>
              <w:tr2bl w:val="nil"/>
            </w:tcBorders>
            <w:vAlign w:val="center"/>
          </w:tcPr>
          <w:p w14:paraId="79117EB8">
            <w:pPr>
              <w:pStyle w:val="64"/>
              <w:ind w:left="0" w:leftChars="0" w:right="0" w:rightChars="0" w:firstLine="0" w:firstLineChars="0"/>
              <w:jc w:val="center"/>
              <w:rPr>
                <w:rFonts w:hint="default" w:ascii="Times New Roman" w:hAnsi="Times New Roman" w:eastAsia="仿宋_GB2312" w:cs="Times New Roman"/>
                <w:b/>
                <w:bCs/>
                <w:sz w:val="24"/>
                <w:szCs w:val="24"/>
                <w:lang w:bidi="zh-CN"/>
              </w:rPr>
            </w:pPr>
            <w:r>
              <w:rPr>
                <w:rFonts w:hint="default" w:ascii="Times New Roman" w:hAnsi="Times New Roman" w:eastAsia="仿宋_GB2312" w:cs="Times New Roman"/>
                <w:b/>
                <w:bCs/>
                <w:sz w:val="24"/>
                <w:szCs w:val="24"/>
                <w:lang w:bidi="zh-CN"/>
              </w:rPr>
              <w:t>街道得分</w:t>
            </w:r>
          </w:p>
        </w:tc>
      </w:tr>
      <w:tr w14:paraId="011C07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 w:hRule="atLeast"/>
          <w:tblHeader/>
          <w:jc w:val="center"/>
        </w:trPr>
        <w:tc>
          <w:tcPr>
            <w:tcW w:w="408" w:type="pct"/>
            <w:vMerge w:val="continue"/>
            <w:tcBorders>
              <w:left w:val="single" w:color="000000" w:sz="4" w:space="0"/>
              <w:bottom w:val="single" w:color="000000" w:sz="4" w:space="0"/>
              <w:right w:val="single" w:color="000000" w:sz="4" w:space="0"/>
              <w:tl2br w:val="nil"/>
              <w:tr2bl w:val="nil"/>
            </w:tcBorders>
            <w:vAlign w:val="center"/>
          </w:tcPr>
          <w:p w14:paraId="0D2B2CCF">
            <w:pPr>
              <w:pStyle w:val="64"/>
              <w:jc w:val="both"/>
              <w:rPr>
                <w:rFonts w:hint="default" w:ascii="Times New Roman" w:hAnsi="Times New Roman" w:eastAsia="仿宋_GB2312" w:cs="Times New Roman"/>
                <w:sz w:val="24"/>
                <w:szCs w:val="24"/>
                <w:lang w:bidi="zh-CN"/>
              </w:rPr>
            </w:pPr>
          </w:p>
        </w:tc>
        <w:tc>
          <w:tcPr>
            <w:tcW w:w="462" w:type="pct"/>
            <w:vMerge w:val="continue"/>
            <w:tcBorders>
              <w:left w:val="single" w:color="000000" w:sz="4" w:space="0"/>
              <w:bottom w:val="single" w:color="000000" w:sz="4" w:space="0"/>
              <w:right w:val="single" w:color="000000" w:sz="4" w:space="0"/>
              <w:tl2br w:val="nil"/>
              <w:tr2bl w:val="nil"/>
            </w:tcBorders>
            <w:vAlign w:val="center"/>
          </w:tcPr>
          <w:p w14:paraId="3021657C">
            <w:pPr>
              <w:pStyle w:val="64"/>
              <w:jc w:val="both"/>
              <w:rPr>
                <w:rFonts w:hint="default" w:ascii="Times New Roman" w:hAnsi="Times New Roman" w:eastAsia="仿宋_GB2312" w:cs="Times New Roman"/>
                <w:sz w:val="24"/>
                <w:szCs w:val="24"/>
                <w:lang w:bidi="zh-CN"/>
              </w:rPr>
            </w:pPr>
          </w:p>
        </w:tc>
        <w:tc>
          <w:tcPr>
            <w:tcW w:w="410" w:type="pct"/>
            <w:vMerge w:val="continue"/>
            <w:tcBorders>
              <w:left w:val="single" w:color="000000" w:sz="4" w:space="0"/>
              <w:bottom w:val="single" w:color="000000" w:sz="4" w:space="0"/>
              <w:right w:val="single" w:color="000000" w:sz="4" w:space="0"/>
              <w:tl2br w:val="nil"/>
              <w:tr2bl w:val="nil"/>
            </w:tcBorders>
            <w:vAlign w:val="center"/>
          </w:tcPr>
          <w:p w14:paraId="3F8E8677">
            <w:pPr>
              <w:pStyle w:val="64"/>
              <w:jc w:val="both"/>
              <w:rPr>
                <w:rFonts w:hint="default" w:ascii="Times New Roman" w:hAnsi="Times New Roman" w:eastAsia="仿宋_GB2312" w:cs="Times New Roman"/>
                <w:sz w:val="24"/>
                <w:szCs w:val="24"/>
                <w:lang w:bidi="zh-CN"/>
              </w:rPr>
            </w:pPr>
          </w:p>
        </w:tc>
        <w:tc>
          <w:tcPr>
            <w:tcW w:w="461" w:type="pct"/>
            <w:tcBorders>
              <w:top w:val="single" w:color="auto" w:sz="4" w:space="0"/>
              <w:left w:val="single" w:color="000000" w:sz="4" w:space="0"/>
              <w:bottom w:val="single" w:color="000000" w:sz="4" w:space="0"/>
              <w:right w:val="single" w:color="auto" w:sz="4" w:space="0"/>
              <w:tl2br w:val="nil"/>
              <w:tr2bl w:val="nil"/>
            </w:tcBorders>
            <w:vAlign w:val="center"/>
          </w:tcPr>
          <w:p w14:paraId="62EB7370">
            <w:pPr>
              <w:pStyle w:val="64"/>
              <w:jc w:val="both"/>
              <w:rPr>
                <w:rFonts w:hint="default" w:ascii="Times New Roman" w:hAnsi="Times New Roman" w:eastAsia="仿宋_GB2312" w:cs="Times New Roman"/>
                <w:b/>
                <w:bCs/>
                <w:sz w:val="24"/>
                <w:szCs w:val="24"/>
                <w:lang w:bidi="zh-CN"/>
              </w:rPr>
            </w:pPr>
            <w:r>
              <w:rPr>
                <w:rFonts w:hint="default" w:ascii="Times New Roman" w:hAnsi="Times New Roman" w:eastAsia="仿宋_GB2312" w:cs="Times New Roman"/>
                <w:b/>
                <w:bCs/>
                <w:sz w:val="24"/>
                <w:szCs w:val="24"/>
                <w:lang w:bidi="zh-CN"/>
              </w:rPr>
              <w:t>生态</w:t>
            </w:r>
          </w:p>
          <w:p w14:paraId="64BA8053">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b/>
                <w:bCs/>
                <w:sz w:val="24"/>
                <w:szCs w:val="24"/>
                <w:lang w:bidi="zh-CN"/>
              </w:rPr>
              <w:t>宜居</w:t>
            </w:r>
          </w:p>
        </w:tc>
        <w:tc>
          <w:tcPr>
            <w:tcW w:w="267" w:type="pct"/>
            <w:tcBorders>
              <w:top w:val="single" w:color="auto" w:sz="4" w:space="0"/>
              <w:left w:val="single" w:color="auto" w:sz="4" w:space="0"/>
              <w:bottom w:val="single" w:color="auto" w:sz="4" w:space="0"/>
              <w:right w:val="single" w:color="auto" w:sz="4" w:space="0"/>
              <w:tl2br w:val="nil"/>
              <w:tr2bl w:val="nil"/>
            </w:tcBorders>
            <w:vAlign w:val="center"/>
          </w:tcPr>
          <w:p w14:paraId="06CCDAB5">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267" w:type="pct"/>
            <w:tcBorders>
              <w:top w:val="single" w:color="auto" w:sz="4" w:space="0"/>
              <w:left w:val="single" w:color="auto" w:sz="4" w:space="0"/>
              <w:bottom w:val="single" w:color="auto" w:sz="4" w:space="0"/>
              <w:right w:val="single" w:color="auto" w:sz="4" w:space="0"/>
              <w:tl2br w:val="nil"/>
              <w:tr2bl w:val="nil"/>
            </w:tcBorders>
            <w:vAlign w:val="center"/>
          </w:tcPr>
          <w:p w14:paraId="006194A5">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0223B085">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267" w:type="pct"/>
            <w:tcBorders>
              <w:top w:val="single" w:color="auto" w:sz="4" w:space="0"/>
              <w:left w:val="single" w:color="auto" w:sz="4" w:space="0"/>
              <w:bottom w:val="single" w:color="auto" w:sz="4" w:space="0"/>
              <w:right w:val="single" w:color="auto" w:sz="4" w:space="0"/>
              <w:tl2br w:val="nil"/>
              <w:tr2bl w:val="nil"/>
            </w:tcBorders>
            <w:vAlign w:val="center"/>
          </w:tcPr>
          <w:p w14:paraId="60404B4F">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1A503C1D">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264FDAD1">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12" w:type="pct"/>
            <w:tcBorders>
              <w:top w:val="single" w:color="auto" w:sz="4" w:space="0"/>
              <w:left w:val="single" w:color="auto" w:sz="4" w:space="0"/>
              <w:bottom w:val="single" w:color="auto" w:sz="4" w:space="0"/>
              <w:right w:val="single" w:color="auto" w:sz="4" w:space="0"/>
              <w:tl2br w:val="nil"/>
              <w:tr2bl w:val="nil"/>
            </w:tcBorders>
            <w:vAlign w:val="center"/>
          </w:tcPr>
          <w:p w14:paraId="7A320866">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08" w:type="pct"/>
            <w:vMerge w:val="continue"/>
            <w:tcBorders>
              <w:left w:val="single" w:color="auto" w:sz="4" w:space="0"/>
              <w:bottom w:val="single" w:color="auto" w:sz="4" w:space="0"/>
              <w:right w:val="single" w:color="auto" w:sz="4" w:space="0"/>
              <w:tl2br w:val="nil"/>
              <w:tr2bl w:val="nil"/>
            </w:tcBorders>
            <w:vAlign w:val="center"/>
          </w:tcPr>
          <w:p w14:paraId="44B34611">
            <w:pPr>
              <w:pStyle w:val="64"/>
              <w:jc w:val="both"/>
              <w:rPr>
                <w:rFonts w:hint="default" w:ascii="Times New Roman" w:hAnsi="Times New Roman" w:eastAsia="仿宋_GB2312" w:cs="Times New Roman"/>
                <w:sz w:val="24"/>
                <w:szCs w:val="24"/>
                <w:lang w:bidi="zh-CN"/>
              </w:rPr>
            </w:pPr>
          </w:p>
        </w:tc>
        <w:tc>
          <w:tcPr>
            <w:tcW w:w="408" w:type="pct"/>
            <w:vMerge w:val="continue"/>
            <w:tcBorders>
              <w:left w:val="single" w:color="auto" w:sz="4" w:space="0"/>
              <w:bottom w:val="single" w:color="auto" w:sz="4" w:space="0"/>
              <w:right w:val="single" w:color="auto" w:sz="4" w:space="0"/>
              <w:tl2br w:val="nil"/>
              <w:tr2bl w:val="nil"/>
            </w:tcBorders>
            <w:vAlign w:val="center"/>
          </w:tcPr>
          <w:p w14:paraId="0C612450">
            <w:pPr>
              <w:pStyle w:val="64"/>
              <w:jc w:val="both"/>
              <w:rPr>
                <w:rFonts w:hint="default" w:ascii="Times New Roman" w:hAnsi="Times New Roman" w:eastAsia="仿宋_GB2312" w:cs="Times New Roman"/>
                <w:sz w:val="24"/>
                <w:szCs w:val="24"/>
                <w:lang w:bidi="zh-CN"/>
              </w:rPr>
            </w:pPr>
          </w:p>
        </w:tc>
      </w:tr>
      <w:tr w14:paraId="3191E5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 w:hRule="atLeast"/>
          <w:jc w:val="center"/>
        </w:trPr>
        <w:tc>
          <w:tcPr>
            <w:tcW w:w="408" w:type="pct"/>
            <w:tcBorders>
              <w:top w:val="single" w:color="000000" w:sz="4" w:space="0"/>
              <w:left w:val="single" w:color="auto" w:sz="4" w:space="0"/>
              <w:bottom w:val="single" w:color="000000" w:sz="4" w:space="0"/>
              <w:right w:val="single" w:color="000000" w:sz="4" w:space="0"/>
              <w:tl2br w:val="nil"/>
              <w:tr2bl w:val="nil"/>
            </w:tcBorders>
            <w:vAlign w:val="center"/>
          </w:tcPr>
          <w:p w14:paraId="6699117A">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1</w:t>
            </w:r>
          </w:p>
        </w:tc>
        <w:tc>
          <w:tcPr>
            <w:tcW w:w="462" w:type="pct"/>
            <w:vMerge w:val="restart"/>
            <w:tcBorders>
              <w:top w:val="single" w:color="000000" w:sz="4" w:space="0"/>
              <w:left w:val="single" w:color="000000" w:sz="4" w:space="0"/>
              <w:right w:val="single" w:color="000000" w:sz="4" w:space="0"/>
              <w:tl2br w:val="nil"/>
              <w:tr2bl w:val="nil"/>
            </w:tcBorders>
            <w:vAlign w:val="center"/>
          </w:tcPr>
          <w:p w14:paraId="346BDDD6">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XX街道</w:t>
            </w:r>
          </w:p>
        </w:tc>
        <w:tc>
          <w:tcPr>
            <w:tcW w:w="410" w:type="pct"/>
            <w:tcBorders>
              <w:top w:val="single" w:color="000000" w:sz="4" w:space="0"/>
              <w:left w:val="single" w:color="000000" w:sz="4" w:space="0"/>
              <w:bottom w:val="nil"/>
              <w:right w:val="single" w:color="000000" w:sz="4" w:space="0"/>
              <w:tl2br w:val="nil"/>
              <w:tr2bl w:val="nil"/>
            </w:tcBorders>
            <w:vAlign w:val="center"/>
          </w:tcPr>
          <w:p w14:paraId="50CBF795">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XX社区</w:t>
            </w:r>
          </w:p>
        </w:tc>
        <w:tc>
          <w:tcPr>
            <w:tcW w:w="461" w:type="pct"/>
            <w:tcBorders>
              <w:top w:val="single" w:color="000000" w:sz="4" w:space="0"/>
              <w:left w:val="single" w:color="000000" w:sz="4" w:space="0"/>
              <w:bottom w:val="single" w:color="000000" w:sz="4" w:space="0"/>
              <w:right w:val="single" w:color="auto" w:sz="4" w:space="0"/>
              <w:tl2br w:val="nil"/>
              <w:tr2bl w:val="nil"/>
            </w:tcBorders>
            <w:vAlign w:val="center"/>
          </w:tcPr>
          <w:p w14:paraId="0B819FD1">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XX</w:t>
            </w:r>
          </w:p>
        </w:tc>
        <w:tc>
          <w:tcPr>
            <w:tcW w:w="267" w:type="pct"/>
            <w:tcBorders>
              <w:top w:val="single" w:color="auto" w:sz="4" w:space="0"/>
              <w:left w:val="single" w:color="auto" w:sz="4" w:space="0"/>
              <w:bottom w:val="single" w:color="auto" w:sz="4" w:space="0"/>
              <w:right w:val="single" w:color="auto" w:sz="4" w:space="0"/>
              <w:tl2br w:val="nil"/>
              <w:tr2bl w:val="nil"/>
            </w:tcBorders>
            <w:vAlign w:val="center"/>
          </w:tcPr>
          <w:p w14:paraId="7C2D9DAF">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267" w:type="pct"/>
            <w:tcBorders>
              <w:top w:val="single" w:color="auto" w:sz="4" w:space="0"/>
              <w:left w:val="single" w:color="auto" w:sz="4" w:space="0"/>
              <w:bottom w:val="nil"/>
              <w:right w:val="single" w:color="auto" w:sz="4" w:space="0"/>
              <w:tl2br w:val="nil"/>
              <w:tr2bl w:val="nil"/>
            </w:tcBorders>
            <w:vAlign w:val="center"/>
          </w:tcPr>
          <w:p w14:paraId="747DEDEB">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08" w:type="pct"/>
            <w:tcBorders>
              <w:top w:val="single" w:color="auto" w:sz="4" w:space="0"/>
              <w:left w:val="single" w:color="auto" w:sz="4" w:space="0"/>
              <w:bottom w:val="nil"/>
              <w:right w:val="single" w:color="auto" w:sz="4" w:space="0"/>
              <w:tl2br w:val="nil"/>
              <w:tr2bl w:val="nil"/>
            </w:tcBorders>
            <w:vAlign w:val="center"/>
          </w:tcPr>
          <w:p w14:paraId="417C9A25">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267" w:type="pct"/>
            <w:tcBorders>
              <w:top w:val="single" w:color="auto" w:sz="4" w:space="0"/>
              <w:left w:val="single" w:color="auto" w:sz="4" w:space="0"/>
              <w:bottom w:val="nil"/>
              <w:right w:val="single" w:color="auto" w:sz="4" w:space="0"/>
              <w:tl2br w:val="nil"/>
              <w:tr2bl w:val="nil"/>
            </w:tcBorders>
            <w:vAlign w:val="center"/>
          </w:tcPr>
          <w:p w14:paraId="65561975">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08" w:type="pct"/>
            <w:tcBorders>
              <w:top w:val="single" w:color="auto" w:sz="4" w:space="0"/>
              <w:left w:val="single" w:color="auto" w:sz="4" w:space="0"/>
              <w:bottom w:val="nil"/>
              <w:right w:val="single" w:color="auto" w:sz="4" w:space="0"/>
              <w:tl2br w:val="nil"/>
              <w:tr2bl w:val="nil"/>
            </w:tcBorders>
            <w:vAlign w:val="center"/>
          </w:tcPr>
          <w:p w14:paraId="527EC2DD">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08" w:type="pct"/>
            <w:tcBorders>
              <w:top w:val="single" w:color="auto" w:sz="4" w:space="0"/>
              <w:left w:val="single" w:color="auto" w:sz="4" w:space="0"/>
              <w:bottom w:val="nil"/>
              <w:right w:val="single" w:color="auto" w:sz="4" w:space="0"/>
              <w:tl2br w:val="nil"/>
              <w:tr2bl w:val="nil"/>
            </w:tcBorders>
            <w:vAlign w:val="center"/>
          </w:tcPr>
          <w:p w14:paraId="288D6192">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12" w:type="pct"/>
            <w:tcBorders>
              <w:top w:val="single" w:color="auto" w:sz="4" w:space="0"/>
              <w:left w:val="single" w:color="auto" w:sz="4" w:space="0"/>
              <w:bottom w:val="nil"/>
              <w:right w:val="single" w:color="auto" w:sz="4" w:space="0"/>
              <w:tl2br w:val="nil"/>
              <w:tr2bl w:val="nil"/>
            </w:tcBorders>
            <w:vAlign w:val="center"/>
          </w:tcPr>
          <w:p w14:paraId="1335AC37">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08" w:type="pct"/>
            <w:tcBorders>
              <w:top w:val="single" w:color="auto" w:sz="4" w:space="0"/>
              <w:left w:val="single" w:color="auto" w:sz="4" w:space="0"/>
              <w:bottom w:val="nil"/>
              <w:right w:val="single" w:color="auto" w:sz="4" w:space="0"/>
              <w:tl2br w:val="nil"/>
              <w:tr2bl w:val="nil"/>
            </w:tcBorders>
            <w:vAlign w:val="center"/>
          </w:tcPr>
          <w:p w14:paraId="7C5B349F">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XX</w:t>
            </w:r>
          </w:p>
        </w:tc>
        <w:tc>
          <w:tcPr>
            <w:tcW w:w="408" w:type="pct"/>
            <w:vMerge w:val="restart"/>
            <w:tcBorders>
              <w:top w:val="single" w:color="auto" w:sz="4" w:space="0"/>
              <w:left w:val="single" w:color="auto" w:sz="4" w:space="0"/>
              <w:right w:val="single" w:color="auto" w:sz="4" w:space="0"/>
              <w:tl2br w:val="nil"/>
              <w:tr2bl w:val="nil"/>
            </w:tcBorders>
            <w:vAlign w:val="center"/>
          </w:tcPr>
          <w:p w14:paraId="7F875694">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XX</w:t>
            </w:r>
          </w:p>
        </w:tc>
      </w:tr>
      <w:tr w14:paraId="51076D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08" w:type="pct"/>
            <w:tcBorders>
              <w:top w:val="single" w:color="000000" w:sz="4" w:space="0"/>
              <w:left w:val="single" w:color="auto" w:sz="4" w:space="0"/>
              <w:bottom w:val="single" w:color="000000" w:sz="4" w:space="0"/>
              <w:right w:val="single" w:color="000000" w:sz="4" w:space="0"/>
              <w:tl2br w:val="nil"/>
              <w:tr2bl w:val="nil"/>
            </w:tcBorders>
            <w:vAlign w:val="center"/>
          </w:tcPr>
          <w:p w14:paraId="2C877ED1">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2</w:t>
            </w:r>
          </w:p>
        </w:tc>
        <w:tc>
          <w:tcPr>
            <w:tcW w:w="462" w:type="pct"/>
            <w:vMerge w:val="continue"/>
            <w:tcBorders>
              <w:left w:val="single" w:color="000000" w:sz="4" w:space="0"/>
              <w:right w:val="single" w:color="000000" w:sz="4" w:space="0"/>
              <w:tl2br w:val="nil"/>
              <w:tr2bl w:val="nil"/>
            </w:tcBorders>
            <w:vAlign w:val="center"/>
          </w:tcPr>
          <w:p w14:paraId="098B45B3">
            <w:pPr>
              <w:pStyle w:val="64"/>
              <w:jc w:val="both"/>
              <w:rPr>
                <w:rFonts w:hint="default" w:ascii="Times New Roman" w:hAnsi="Times New Roman" w:eastAsia="仿宋_GB2312" w:cs="Times New Roman"/>
                <w:sz w:val="24"/>
                <w:szCs w:val="24"/>
                <w:lang w:bidi="zh-CN"/>
              </w:rPr>
            </w:pPr>
          </w:p>
        </w:tc>
        <w:tc>
          <w:tcPr>
            <w:tcW w:w="410" w:type="pct"/>
            <w:tcBorders>
              <w:top w:val="single" w:color="000000" w:sz="4" w:space="0"/>
              <w:left w:val="single" w:color="000000" w:sz="4" w:space="0"/>
              <w:bottom w:val="single" w:color="000000" w:sz="4" w:space="0"/>
              <w:right w:val="single" w:color="000000" w:sz="4" w:space="0"/>
              <w:tl2br w:val="nil"/>
              <w:tr2bl w:val="nil"/>
            </w:tcBorders>
            <w:vAlign w:val="center"/>
          </w:tcPr>
          <w:p w14:paraId="445E289B">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XX社区</w:t>
            </w:r>
          </w:p>
        </w:tc>
        <w:tc>
          <w:tcPr>
            <w:tcW w:w="461" w:type="pct"/>
            <w:tcBorders>
              <w:top w:val="single" w:color="000000" w:sz="4" w:space="0"/>
              <w:left w:val="single" w:color="000000" w:sz="4" w:space="0"/>
              <w:bottom w:val="single" w:color="000000" w:sz="4" w:space="0"/>
              <w:right w:val="single" w:color="auto" w:sz="4" w:space="0"/>
              <w:tl2br w:val="nil"/>
              <w:tr2bl w:val="nil"/>
            </w:tcBorders>
            <w:vAlign w:val="center"/>
          </w:tcPr>
          <w:p w14:paraId="23DBB5E4">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XX</w:t>
            </w:r>
          </w:p>
        </w:tc>
        <w:tc>
          <w:tcPr>
            <w:tcW w:w="267" w:type="pct"/>
            <w:tcBorders>
              <w:top w:val="single" w:color="auto" w:sz="4" w:space="0"/>
              <w:left w:val="single" w:color="auto" w:sz="4" w:space="0"/>
              <w:bottom w:val="single" w:color="auto" w:sz="4" w:space="0"/>
              <w:right w:val="single" w:color="auto" w:sz="4" w:space="0"/>
              <w:tl2br w:val="nil"/>
              <w:tr2bl w:val="nil"/>
            </w:tcBorders>
            <w:vAlign w:val="center"/>
          </w:tcPr>
          <w:p w14:paraId="68197440">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267" w:type="pct"/>
            <w:tcBorders>
              <w:top w:val="single" w:color="auto" w:sz="4" w:space="0"/>
              <w:left w:val="single" w:color="auto" w:sz="4" w:space="0"/>
              <w:bottom w:val="single" w:color="auto" w:sz="4" w:space="0"/>
              <w:right w:val="single" w:color="auto" w:sz="4" w:space="0"/>
              <w:tl2br w:val="nil"/>
              <w:tr2bl w:val="nil"/>
            </w:tcBorders>
            <w:vAlign w:val="center"/>
          </w:tcPr>
          <w:p w14:paraId="430AC8FF">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734E741F">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267" w:type="pct"/>
            <w:tcBorders>
              <w:top w:val="single" w:color="auto" w:sz="4" w:space="0"/>
              <w:left w:val="single" w:color="auto" w:sz="4" w:space="0"/>
              <w:bottom w:val="single" w:color="auto" w:sz="4" w:space="0"/>
              <w:right w:val="single" w:color="auto" w:sz="4" w:space="0"/>
              <w:tl2br w:val="nil"/>
              <w:tr2bl w:val="nil"/>
            </w:tcBorders>
            <w:vAlign w:val="center"/>
          </w:tcPr>
          <w:p w14:paraId="24726388">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02074391">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7F3C28F0">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12" w:type="pct"/>
            <w:tcBorders>
              <w:top w:val="single" w:color="auto" w:sz="4" w:space="0"/>
              <w:left w:val="single" w:color="auto" w:sz="4" w:space="0"/>
              <w:bottom w:val="single" w:color="auto" w:sz="4" w:space="0"/>
              <w:right w:val="single" w:color="auto" w:sz="4" w:space="0"/>
              <w:tl2br w:val="nil"/>
              <w:tr2bl w:val="nil"/>
            </w:tcBorders>
            <w:vAlign w:val="center"/>
          </w:tcPr>
          <w:p w14:paraId="7C2CA661">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7FD3056D">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XX</w:t>
            </w:r>
          </w:p>
        </w:tc>
        <w:tc>
          <w:tcPr>
            <w:tcW w:w="408" w:type="pct"/>
            <w:vMerge w:val="continue"/>
            <w:tcBorders>
              <w:left w:val="single" w:color="auto" w:sz="4" w:space="0"/>
              <w:right w:val="single" w:color="auto" w:sz="4" w:space="0"/>
              <w:tl2br w:val="nil"/>
              <w:tr2bl w:val="nil"/>
            </w:tcBorders>
            <w:vAlign w:val="center"/>
          </w:tcPr>
          <w:p w14:paraId="7686AC98">
            <w:pPr>
              <w:pStyle w:val="64"/>
              <w:jc w:val="both"/>
              <w:rPr>
                <w:rFonts w:hint="default" w:ascii="Times New Roman" w:hAnsi="Times New Roman" w:eastAsia="仿宋_GB2312" w:cs="Times New Roman"/>
                <w:sz w:val="24"/>
                <w:szCs w:val="24"/>
                <w:lang w:bidi="zh-CN"/>
              </w:rPr>
            </w:pPr>
          </w:p>
        </w:tc>
      </w:tr>
      <w:tr w14:paraId="6C3ABA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 w:hRule="atLeast"/>
          <w:jc w:val="center"/>
        </w:trPr>
        <w:tc>
          <w:tcPr>
            <w:tcW w:w="408" w:type="pct"/>
            <w:tcBorders>
              <w:top w:val="single" w:color="000000" w:sz="4" w:space="0"/>
              <w:left w:val="single" w:color="auto" w:sz="4" w:space="0"/>
              <w:bottom w:val="single" w:color="000000" w:sz="4" w:space="0"/>
              <w:right w:val="single" w:color="000000" w:sz="4" w:space="0"/>
              <w:tl2br w:val="nil"/>
              <w:tr2bl w:val="nil"/>
            </w:tcBorders>
            <w:vAlign w:val="center"/>
          </w:tcPr>
          <w:p w14:paraId="2990711C">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62" w:type="pct"/>
            <w:vMerge w:val="continue"/>
            <w:tcBorders>
              <w:left w:val="single" w:color="000000" w:sz="4" w:space="0"/>
              <w:bottom w:val="single" w:color="000000" w:sz="4" w:space="0"/>
              <w:right w:val="single" w:color="000000" w:sz="4" w:space="0"/>
              <w:tl2br w:val="nil"/>
              <w:tr2bl w:val="nil"/>
            </w:tcBorders>
            <w:vAlign w:val="center"/>
          </w:tcPr>
          <w:p w14:paraId="2DE1B3DC">
            <w:pPr>
              <w:pStyle w:val="64"/>
              <w:jc w:val="both"/>
              <w:rPr>
                <w:rFonts w:hint="default" w:ascii="Times New Roman" w:hAnsi="Times New Roman" w:eastAsia="仿宋_GB2312" w:cs="Times New Roman"/>
                <w:sz w:val="24"/>
                <w:szCs w:val="24"/>
                <w:lang w:bidi="zh-CN"/>
              </w:rPr>
            </w:pPr>
          </w:p>
        </w:tc>
        <w:tc>
          <w:tcPr>
            <w:tcW w:w="410" w:type="pct"/>
            <w:tcBorders>
              <w:top w:val="single" w:color="000000" w:sz="4" w:space="0"/>
              <w:left w:val="single" w:color="000000" w:sz="4" w:space="0"/>
              <w:bottom w:val="single" w:color="000000" w:sz="4" w:space="0"/>
              <w:right w:val="single" w:color="000000" w:sz="4" w:space="0"/>
              <w:tl2br w:val="nil"/>
              <w:tr2bl w:val="nil"/>
            </w:tcBorders>
            <w:vAlign w:val="center"/>
          </w:tcPr>
          <w:p w14:paraId="7582BA80">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61" w:type="pct"/>
            <w:tcBorders>
              <w:top w:val="single" w:color="000000" w:sz="4" w:space="0"/>
              <w:left w:val="single" w:color="000000" w:sz="4" w:space="0"/>
              <w:bottom w:val="single" w:color="000000" w:sz="4" w:space="0"/>
              <w:right w:val="single" w:color="auto" w:sz="4" w:space="0"/>
              <w:tl2br w:val="nil"/>
              <w:tr2bl w:val="nil"/>
            </w:tcBorders>
            <w:vAlign w:val="center"/>
          </w:tcPr>
          <w:p w14:paraId="285CB25B">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267" w:type="pct"/>
            <w:tcBorders>
              <w:top w:val="single" w:color="auto" w:sz="4" w:space="0"/>
              <w:left w:val="single" w:color="auto" w:sz="4" w:space="0"/>
              <w:bottom w:val="single" w:color="auto" w:sz="4" w:space="0"/>
              <w:right w:val="single" w:color="auto" w:sz="4" w:space="0"/>
              <w:tl2br w:val="nil"/>
              <w:tr2bl w:val="nil"/>
            </w:tcBorders>
            <w:vAlign w:val="center"/>
          </w:tcPr>
          <w:p w14:paraId="2D2AD1A0">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267" w:type="pct"/>
            <w:tcBorders>
              <w:top w:val="single" w:color="auto" w:sz="4" w:space="0"/>
              <w:left w:val="single" w:color="auto" w:sz="4" w:space="0"/>
              <w:bottom w:val="single" w:color="auto" w:sz="4" w:space="0"/>
              <w:right w:val="single" w:color="auto" w:sz="4" w:space="0"/>
              <w:tl2br w:val="nil"/>
              <w:tr2bl w:val="nil"/>
            </w:tcBorders>
            <w:vAlign w:val="center"/>
          </w:tcPr>
          <w:p w14:paraId="503AA384">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11B33595">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267" w:type="pct"/>
            <w:tcBorders>
              <w:top w:val="single" w:color="auto" w:sz="4" w:space="0"/>
              <w:left w:val="single" w:color="auto" w:sz="4" w:space="0"/>
              <w:bottom w:val="single" w:color="auto" w:sz="4" w:space="0"/>
              <w:right w:val="single" w:color="auto" w:sz="4" w:space="0"/>
              <w:tl2br w:val="nil"/>
              <w:tr2bl w:val="nil"/>
            </w:tcBorders>
            <w:vAlign w:val="center"/>
          </w:tcPr>
          <w:p w14:paraId="55CB7EE8">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32E10598">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28E1C35C">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12" w:type="pct"/>
            <w:tcBorders>
              <w:top w:val="single" w:color="auto" w:sz="4" w:space="0"/>
              <w:left w:val="single" w:color="auto" w:sz="4" w:space="0"/>
              <w:bottom w:val="single" w:color="auto" w:sz="4" w:space="0"/>
              <w:right w:val="single" w:color="auto" w:sz="4" w:space="0"/>
              <w:tl2br w:val="nil"/>
              <w:tr2bl w:val="nil"/>
            </w:tcBorders>
            <w:vAlign w:val="center"/>
          </w:tcPr>
          <w:p w14:paraId="789A8B3B">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0C6222D1">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08" w:type="pct"/>
            <w:vMerge w:val="continue"/>
            <w:tcBorders>
              <w:left w:val="single" w:color="auto" w:sz="4" w:space="0"/>
              <w:bottom w:val="single" w:color="auto" w:sz="4" w:space="0"/>
              <w:right w:val="single" w:color="auto" w:sz="4" w:space="0"/>
              <w:tl2br w:val="nil"/>
              <w:tr2bl w:val="nil"/>
            </w:tcBorders>
            <w:vAlign w:val="center"/>
          </w:tcPr>
          <w:p w14:paraId="32DF335D">
            <w:pPr>
              <w:pStyle w:val="64"/>
              <w:jc w:val="both"/>
              <w:rPr>
                <w:rFonts w:hint="default" w:ascii="Times New Roman" w:hAnsi="Times New Roman" w:eastAsia="仿宋_GB2312" w:cs="Times New Roman"/>
                <w:sz w:val="24"/>
                <w:szCs w:val="24"/>
                <w:lang w:bidi="zh-CN"/>
              </w:rPr>
            </w:pPr>
          </w:p>
        </w:tc>
      </w:tr>
      <w:tr w14:paraId="7CDE66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08" w:type="pct"/>
            <w:tcBorders>
              <w:top w:val="single" w:color="000000" w:sz="4" w:space="0"/>
              <w:left w:val="single" w:color="auto" w:sz="4" w:space="0"/>
              <w:bottom w:val="single" w:color="000000" w:sz="4" w:space="0"/>
              <w:right w:val="single" w:color="000000" w:sz="4" w:space="0"/>
              <w:tl2br w:val="nil"/>
              <w:tr2bl w:val="nil"/>
            </w:tcBorders>
            <w:vAlign w:val="center"/>
          </w:tcPr>
          <w:p w14:paraId="2C8BCCF2">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62" w:type="pct"/>
            <w:tcBorders>
              <w:top w:val="single" w:color="000000" w:sz="4" w:space="0"/>
              <w:left w:val="single" w:color="000000" w:sz="4" w:space="0"/>
              <w:bottom w:val="single" w:color="000000" w:sz="4" w:space="0"/>
              <w:right w:val="single" w:color="000000" w:sz="4" w:space="0"/>
              <w:tl2br w:val="nil"/>
              <w:tr2bl w:val="nil"/>
            </w:tcBorders>
            <w:vAlign w:val="center"/>
          </w:tcPr>
          <w:p w14:paraId="23BEBF82">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10" w:type="pct"/>
            <w:tcBorders>
              <w:top w:val="single" w:color="000000" w:sz="4" w:space="0"/>
              <w:left w:val="single" w:color="000000" w:sz="4" w:space="0"/>
              <w:bottom w:val="single" w:color="000000" w:sz="4" w:space="0"/>
              <w:right w:val="single" w:color="000000" w:sz="4" w:space="0"/>
              <w:tl2br w:val="nil"/>
              <w:tr2bl w:val="nil"/>
            </w:tcBorders>
            <w:vAlign w:val="center"/>
          </w:tcPr>
          <w:p w14:paraId="47BB7621">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61" w:type="pct"/>
            <w:tcBorders>
              <w:top w:val="single" w:color="000000" w:sz="4" w:space="0"/>
              <w:left w:val="single" w:color="000000" w:sz="4" w:space="0"/>
              <w:bottom w:val="single" w:color="000000" w:sz="4" w:space="0"/>
              <w:right w:val="single" w:color="auto" w:sz="4" w:space="0"/>
              <w:tl2br w:val="nil"/>
              <w:tr2bl w:val="nil"/>
            </w:tcBorders>
            <w:vAlign w:val="center"/>
          </w:tcPr>
          <w:p w14:paraId="6706C22C">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267" w:type="pct"/>
            <w:tcBorders>
              <w:top w:val="single" w:color="auto" w:sz="4" w:space="0"/>
              <w:left w:val="single" w:color="auto" w:sz="4" w:space="0"/>
              <w:bottom w:val="single" w:color="auto" w:sz="4" w:space="0"/>
              <w:right w:val="single" w:color="auto" w:sz="4" w:space="0"/>
              <w:tl2br w:val="nil"/>
              <w:tr2bl w:val="nil"/>
            </w:tcBorders>
            <w:vAlign w:val="center"/>
          </w:tcPr>
          <w:p w14:paraId="51E08D82">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267" w:type="pct"/>
            <w:tcBorders>
              <w:top w:val="single" w:color="auto" w:sz="4" w:space="0"/>
              <w:left w:val="single" w:color="auto" w:sz="4" w:space="0"/>
              <w:bottom w:val="single" w:color="auto" w:sz="4" w:space="0"/>
              <w:right w:val="single" w:color="auto" w:sz="4" w:space="0"/>
              <w:tl2br w:val="nil"/>
              <w:tr2bl w:val="nil"/>
            </w:tcBorders>
            <w:vAlign w:val="center"/>
          </w:tcPr>
          <w:p w14:paraId="6748CE3B">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7C80A058">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267" w:type="pct"/>
            <w:tcBorders>
              <w:top w:val="single" w:color="auto" w:sz="4" w:space="0"/>
              <w:left w:val="single" w:color="auto" w:sz="4" w:space="0"/>
              <w:bottom w:val="single" w:color="auto" w:sz="4" w:space="0"/>
              <w:right w:val="single" w:color="auto" w:sz="4" w:space="0"/>
              <w:tl2br w:val="nil"/>
              <w:tr2bl w:val="nil"/>
            </w:tcBorders>
            <w:vAlign w:val="center"/>
          </w:tcPr>
          <w:p w14:paraId="025A4CBD">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6BCB5CD9">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6AB59F54">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12" w:type="pct"/>
            <w:tcBorders>
              <w:top w:val="single" w:color="auto" w:sz="4" w:space="0"/>
              <w:left w:val="single" w:color="auto" w:sz="4" w:space="0"/>
              <w:bottom w:val="single" w:color="auto" w:sz="4" w:space="0"/>
              <w:right w:val="single" w:color="auto" w:sz="4" w:space="0"/>
              <w:tl2br w:val="nil"/>
              <w:tr2bl w:val="nil"/>
            </w:tcBorders>
            <w:vAlign w:val="center"/>
          </w:tcPr>
          <w:p w14:paraId="4600FEAF">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5DD14E4B">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0BD173E3">
            <w:pPr>
              <w:pStyle w:val="64"/>
              <w:jc w:val="both"/>
              <w:rPr>
                <w:rFonts w:hint="default" w:ascii="Times New Roman" w:hAnsi="Times New Roman" w:eastAsia="仿宋_GB2312" w:cs="Times New Roman"/>
                <w:sz w:val="24"/>
                <w:szCs w:val="24"/>
                <w:lang w:bidi="zh-CN"/>
              </w:rPr>
            </w:pPr>
            <w:r>
              <w:rPr>
                <w:rFonts w:hint="default" w:ascii="Times New Roman" w:hAnsi="Times New Roman" w:eastAsia="仿宋_GB2312" w:cs="Times New Roman"/>
                <w:sz w:val="24"/>
                <w:szCs w:val="24"/>
                <w:lang w:bidi="zh-CN"/>
              </w:rPr>
              <w:t>……</w:t>
            </w:r>
          </w:p>
        </w:tc>
      </w:tr>
    </w:tbl>
    <w:p w14:paraId="76563D54">
      <w:pPr>
        <w:widowControl/>
        <w:rPr>
          <w:rFonts w:hint="default" w:ascii="Times New Roman" w:hAnsi="Times New Roman" w:eastAsia="仿宋" w:cs="Times New Roman"/>
          <w:b/>
          <w:bCs/>
          <w:color w:val="000000"/>
          <w:sz w:val="32"/>
          <w:szCs w:val="44"/>
        </w:rPr>
      </w:pPr>
    </w:p>
    <w:sectPr>
      <w:headerReference r:id="rId15" w:type="first"/>
      <w:footerReference r:id="rId18" w:type="first"/>
      <w:headerReference r:id="rId13" w:type="default"/>
      <w:footerReference r:id="rId16" w:type="default"/>
      <w:headerReference r:id="rId14" w:type="even"/>
      <w:footerReference r:id="rId17" w:type="even"/>
      <w:pgSz w:w="11906" w:h="16838"/>
      <w:pgMar w:top="1440" w:right="1800" w:bottom="1440" w:left="1800" w:header="851" w:footer="992" w:gutter="0"/>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MingLiU-ExtB">
    <w:panose1 w:val="02020500000000000000"/>
    <w:charset w:val="88"/>
    <w:family w:val="roman"/>
    <w:pitch w:val="default"/>
    <w:sig w:usb0="8000002F" w:usb1="02000008" w:usb2="00000000" w:usb3="00000000" w:csb0="00100001" w:csb1="00000000"/>
  </w:font>
  <w:font w:name="Microsoft YaHei UI">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AB102">
    <w:pPr>
      <w:pStyle w:val="18"/>
      <w:jc w:val="center"/>
    </w:pPr>
  </w:p>
  <w:p w14:paraId="0060C694">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FA500">
    <w:pPr>
      <w:pStyle w:val="18"/>
      <w:jc w:val="center"/>
      <w:rPr>
        <w:color w:val="FFFFFF"/>
      </w:rPr>
    </w:pPr>
    <w:r>
      <w:rPr>
        <w:color w:val="FFFFFF"/>
      </w:rPr>
      <w:fldChar w:fldCharType="begin"/>
    </w:r>
    <w:r>
      <w:rPr>
        <w:color w:val="FFFFFF"/>
      </w:rPr>
      <w:instrText xml:space="preserve">PAGE   \* MERGEFORMAT</w:instrText>
    </w:r>
    <w:r>
      <w:rPr>
        <w:color w:val="FFFFFF"/>
      </w:rPr>
      <w:fldChar w:fldCharType="separate"/>
    </w:r>
    <w:r>
      <w:rPr>
        <w:color w:val="FFFFFF"/>
        <w:lang w:val="zh-CN"/>
      </w:rPr>
      <w:t>2</w:t>
    </w:r>
    <w:r>
      <w:rPr>
        <w:color w:val="FFFFFF"/>
      </w:rPr>
      <w:fldChar w:fldCharType="end"/>
    </w:r>
  </w:p>
  <w:p w14:paraId="74B80A0D">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06E81">
    <w:pPr>
      <w:pStyle w:val="18"/>
      <w:jc w:val="center"/>
    </w:pPr>
    <w:r>
      <w:fldChar w:fldCharType="begin"/>
    </w:r>
    <w:r>
      <w:instrText xml:space="preserve">PAGE   \* MERGEFORMAT</w:instrText>
    </w:r>
    <w:r>
      <w:fldChar w:fldCharType="separate"/>
    </w:r>
    <w:r>
      <w:rPr>
        <w:lang w:val="zh-CN"/>
      </w:rPr>
      <w:t>22</w:t>
    </w:r>
    <w:r>
      <w:fldChar w:fldCharType="end"/>
    </w:r>
  </w:p>
  <w:p w14:paraId="522726C0">
    <w:pPr>
      <w:pStyle w:val="1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E1426">
    <w:pPr>
      <w:pStyle w:val="18"/>
      <w:ind w:firstLine="360"/>
      <w:jc w:val="center"/>
    </w:pPr>
    <w:r>
      <w:fldChar w:fldCharType="begin"/>
    </w:r>
    <w:r>
      <w:instrText xml:space="preserve">PAGE   \* MERGEFORMAT</w:instrText>
    </w:r>
    <w:r>
      <w:fldChar w:fldCharType="separate"/>
    </w:r>
    <w:r>
      <w:rPr>
        <w:lang w:val="zh-CN"/>
      </w:rPr>
      <w:t>91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F9559">
    <w:pPr>
      <w:pStyle w:val="18"/>
      <w:ind w:firstLine="360"/>
    </w:pPr>
  </w:p>
  <w:p w14:paraId="5832FC18">
    <w:pPr>
      <w:ind w:firstLine="560"/>
    </w:pPr>
  </w:p>
  <w:p w14:paraId="79387967">
    <w:pPr>
      <w:ind w:firstLine="560"/>
    </w:pPr>
  </w:p>
  <w:p w14:paraId="623E0BA9">
    <w:pPr>
      <w:ind w:firstLine="5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D10D0">
    <w:pPr>
      <w:pStyle w:val="18"/>
      <w:ind w:firstLine="360"/>
      <w:jc w:val="center"/>
    </w:pPr>
    <w:r>
      <w:fldChar w:fldCharType="begin"/>
    </w:r>
    <w:r>
      <w:instrText xml:space="preserve">PAGE   \* MERGEFORMAT</w:instrText>
    </w:r>
    <w:r>
      <w:fldChar w:fldCharType="separate"/>
    </w:r>
    <w:r>
      <w:rPr>
        <w:lang w:val="zh-CN"/>
      </w:rPr>
      <w:t>2</w:t>
    </w:r>
    <w:r>
      <w:fldChar w:fldCharType="end"/>
    </w:r>
  </w:p>
  <w:p w14:paraId="029C1F63">
    <w:pPr>
      <w:pStyle w:val="18"/>
      <w:ind w:firstLine="360"/>
    </w:pPr>
  </w:p>
  <w:p w14:paraId="55D8E787">
    <w:pPr>
      <w:ind w:firstLine="560"/>
    </w:pPr>
  </w:p>
  <w:p w14:paraId="736426DA">
    <w:pPr>
      <w:ind w:firstLine="560"/>
    </w:pPr>
  </w:p>
  <w:p w14:paraId="23945791">
    <w:pPr>
      <w:ind w:firstLine="5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7D701">
    <w:pPr>
      <w:pStyle w:val="18"/>
      <w:ind w:firstLine="360"/>
      <w:jc w:val="center"/>
    </w:pPr>
    <w:r>
      <w:fldChar w:fldCharType="begin"/>
    </w:r>
    <w:r>
      <w:instrText xml:space="preserve">PAGE   \* MERGEFORMAT</w:instrText>
    </w:r>
    <w:r>
      <w:fldChar w:fldCharType="separate"/>
    </w:r>
    <w:r>
      <w:rPr>
        <w:lang w:val="zh-CN"/>
      </w:rPr>
      <w:t>99</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0C5D2">
    <w:pPr>
      <w:pStyle w:val="18"/>
      <w:ind w:firstLine="360"/>
    </w:pPr>
  </w:p>
  <w:p w14:paraId="6E3CA3CF">
    <w:pPr>
      <w:ind w:firstLine="560"/>
    </w:pPr>
  </w:p>
  <w:p w14:paraId="22ED17F3">
    <w:pPr>
      <w:ind w:firstLine="560"/>
    </w:pPr>
  </w:p>
  <w:p w14:paraId="3A673880">
    <w:pPr>
      <w:ind w:firstLine="5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B1045">
    <w:pPr>
      <w:pStyle w:val="18"/>
      <w:ind w:firstLine="360"/>
      <w:jc w:val="center"/>
    </w:pPr>
    <w:r>
      <w:fldChar w:fldCharType="begin"/>
    </w:r>
    <w:r>
      <w:instrText xml:space="preserve">PAGE   \* MERGEFORMAT</w:instrText>
    </w:r>
    <w:r>
      <w:fldChar w:fldCharType="separate"/>
    </w:r>
    <w:r>
      <w:rPr>
        <w:lang w:val="zh-CN"/>
      </w:rPr>
      <w:t>2</w:t>
    </w:r>
    <w:r>
      <w:fldChar w:fldCharType="end"/>
    </w:r>
  </w:p>
  <w:p w14:paraId="1A94C4D5">
    <w:pPr>
      <w:pStyle w:val="18"/>
      <w:ind w:firstLine="360"/>
    </w:pPr>
  </w:p>
  <w:p w14:paraId="593EB66C">
    <w:pPr>
      <w:ind w:firstLine="560"/>
    </w:pPr>
  </w:p>
  <w:p w14:paraId="6FCDFA44">
    <w:pPr>
      <w:ind w:firstLine="560"/>
    </w:pPr>
  </w:p>
  <w:p w14:paraId="0A9AFBF3">
    <w:pPr>
      <w:ind w:firstLine="5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519B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0E80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E384C">
    <w:pPr>
      <w:pStyle w:val="19"/>
      <w:ind w:firstLine="360"/>
    </w:pPr>
  </w:p>
  <w:p w14:paraId="1434516A">
    <w:pPr>
      <w:ind w:firstLine="560"/>
    </w:pPr>
  </w:p>
  <w:p w14:paraId="247B6D20">
    <w:pPr>
      <w:ind w:firstLine="560"/>
    </w:pPr>
  </w:p>
  <w:p w14:paraId="6A605B48">
    <w:pPr>
      <w:ind w:firstLine="5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24400">
    <w:pPr>
      <w:ind w:left="480"/>
    </w:pPr>
  </w:p>
  <w:p w14:paraId="586B34F4">
    <w:pPr>
      <w:ind w:firstLine="560"/>
    </w:pPr>
  </w:p>
  <w:p w14:paraId="3DE1FB99">
    <w:pPr>
      <w:ind w:firstLine="560"/>
    </w:pPr>
  </w:p>
  <w:p w14:paraId="044026AF">
    <w:pPr>
      <w:ind w:firstLine="5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DA824"/>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49459">
    <w:pPr>
      <w:pStyle w:val="19"/>
      <w:ind w:firstLine="360"/>
    </w:pPr>
  </w:p>
  <w:p w14:paraId="35CE66A6">
    <w:pPr>
      <w:ind w:firstLine="560"/>
    </w:pPr>
  </w:p>
  <w:p w14:paraId="12DBBCD7">
    <w:pPr>
      <w:ind w:firstLine="560"/>
    </w:pPr>
  </w:p>
  <w:p w14:paraId="00B77DC9">
    <w:pPr>
      <w:ind w:firstLine="5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5BB4C">
    <w:pPr>
      <w:ind w:left="480"/>
    </w:pPr>
  </w:p>
  <w:p w14:paraId="385BFADE">
    <w:pPr>
      <w:ind w:firstLine="560"/>
    </w:pPr>
  </w:p>
  <w:p w14:paraId="71670181">
    <w:pPr>
      <w:ind w:firstLine="560"/>
    </w:pPr>
  </w:p>
  <w:p w14:paraId="730A1ACD">
    <w:pPr>
      <w:ind w:firstLine="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462D52"/>
    <w:multiLevelType w:val="multilevel"/>
    <w:tmpl w:val="0B462D52"/>
    <w:lvl w:ilvl="0" w:tentative="0">
      <w:start w:val="1"/>
      <w:numFmt w:val="decimal"/>
      <w:pStyle w:val="61"/>
      <w:lvlText w:val="表%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CC508C9"/>
    <w:multiLevelType w:val="multilevel"/>
    <w:tmpl w:val="0CC508C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2AA4249"/>
    <w:multiLevelType w:val="multilevel"/>
    <w:tmpl w:val="12AA4249"/>
    <w:lvl w:ilvl="0" w:tentative="0">
      <w:start w:val="1"/>
      <w:numFmt w:val="decimal"/>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92D00D2"/>
    <w:multiLevelType w:val="multilevel"/>
    <w:tmpl w:val="192D00D2"/>
    <w:lvl w:ilvl="0" w:tentative="0">
      <w:start w:val="1"/>
      <w:numFmt w:val="decimal"/>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25C730B"/>
    <w:multiLevelType w:val="multilevel"/>
    <w:tmpl w:val="425C730B"/>
    <w:lvl w:ilvl="0" w:tentative="0">
      <w:start w:val="1"/>
      <w:numFmt w:val="decimal"/>
      <w:lvlText w:val="4.%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B2B53A6"/>
    <w:multiLevelType w:val="multilevel"/>
    <w:tmpl w:val="5B2B53A6"/>
    <w:lvl w:ilvl="0" w:tentative="0">
      <w:start w:val="1"/>
      <w:numFmt w:val="decimal"/>
      <w:pStyle w:val="67"/>
      <w:lvlText w:val="图%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CF75B71"/>
    <w:multiLevelType w:val="multilevel"/>
    <w:tmpl w:val="7CF75B71"/>
    <w:lvl w:ilvl="0" w:tentative="0">
      <w:start w:val="1"/>
      <w:numFmt w:val="decimal"/>
      <w:lvlText w:val="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5"/>
  </w:num>
  <w:num w:numId="3">
    <w:abstractNumId w:val="1"/>
  </w:num>
  <w:num w:numId="4">
    <w:abstractNumId w:val="3"/>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documentProtection w:enforcement="0"/>
  <w:defaultTabStop w:val="420"/>
  <w:drawingGridHorizontalSpacing w:val="105"/>
  <w:drawingGridVerticalSpacing w:val="163"/>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dmN2Q0MjVhZjA2ZmIwNDBhZGU2ZmFmZjBiOTM2ZWEifQ=="/>
  </w:docVars>
  <w:rsids>
    <w:rsidRoot w:val="007E1C62"/>
    <w:rsid w:val="000002CB"/>
    <w:rsid w:val="00000E34"/>
    <w:rsid w:val="000023C0"/>
    <w:rsid w:val="00002963"/>
    <w:rsid w:val="00002E39"/>
    <w:rsid w:val="000033DF"/>
    <w:rsid w:val="00004B12"/>
    <w:rsid w:val="00006282"/>
    <w:rsid w:val="000079E6"/>
    <w:rsid w:val="00007C61"/>
    <w:rsid w:val="00007E9C"/>
    <w:rsid w:val="000142C4"/>
    <w:rsid w:val="0001444B"/>
    <w:rsid w:val="00014A28"/>
    <w:rsid w:val="00017DCC"/>
    <w:rsid w:val="00021D9A"/>
    <w:rsid w:val="00021EE1"/>
    <w:rsid w:val="0002491E"/>
    <w:rsid w:val="00026521"/>
    <w:rsid w:val="00030341"/>
    <w:rsid w:val="000306C5"/>
    <w:rsid w:val="0003189F"/>
    <w:rsid w:val="00031FD7"/>
    <w:rsid w:val="000328A0"/>
    <w:rsid w:val="00035F69"/>
    <w:rsid w:val="000361E6"/>
    <w:rsid w:val="000373F8"/>
    <w:rsid w:val="00043DFC"/>
    <w:rsid w:val="00044E19"/>
    <w:rsid w:val="00046E4A"/>
    <w:rsid w:val="00047B01"/>
    <w:rsid w:val="00051118"/>
    <w:rsid w:val="00052BA9"/>
    <w:rsid w:val="00053269"/>
    <w:rsid w:val="0005400C"/>
    <w:rsid w:val="00054554"/>
    <w:rsid w:val="00056B19"/>
    <w:rsid w:val="000615FA"/>
    <w:rsid w:val="00061695"/>
    <w:rsid w:val="00062EF7"/>
    <w:rsid w:val="00064962"/>
    <w:rsid w:val="00067292"/>
    <w:rsid w:val="00070AC3"/>
    <w:rsid w:val="00073651"/>
    <w:rsid w:val="00074D1F"/>
    <w:rsid w:val="00075794"/>
    <w:rsid w:val="000763DE"/>
    <w:rsid w:val="000763ED"/>
    <w:rsid w:val="00076E6E"/>
    <w:rsid w:val="0007717D"/>
    <w:rsid w:val="00077A37"/>
    <w:rsid w:val="000858AB"/>
    <w:rsid w:val="000871B1"/>
    <w:rsid w:val="00091047"/>
    <w:rsid w:val="00093278"/>
    <w:rsid w:val="000937B6"/>
    <w:rsid w:val="0009691B"/>
    <w:rsid w:val="00096F31"/>
    <w:rsid w:val="000A19CD"/>
    <w:rsid w:val="000A1D31"/>
    <w:rsid w:val="000A1E01"/>
    <w:rsid w:val="000A234B"/>
    <w:rsid w:val="000A25C6"/>
    <w:rsid w:val="000A4AF3"/>
    <w:rsid w:val="000A4F4A"/>
    <w:rsid w:val="000A6E6D"/>
    <w:rsid w:val="000B0044"/>
    <w:rsid w:val="000B202D"/>
    <w:rsid w:val="000B20B1"/>
    <w:rsid w:val="000B23F6"/>
    <w:rsid w:val="000B2874"/>
    <w:rsid w:val="000B3440"/>
    <w:rsid w:val="000B54FE"/>
    <w:rsid w:val="000B5BE9"/>
    <w:rsid w:val="000B5C02"/>
    <w:rsid w:val="000C0AF5"/>
    <w:rsid w:val="000C13C6"/>
    <w:rsid w:val="000C38C3"/>
    <w:rsid w:val="000C3CCF"/>
    <w:rsid w:val="000C3FD1"/>
    <w:rsid w:val="000C7030"/>
    <w:rsid w:val="000D0392"/>
    <w:rsid w:val="000D042E"/>
    <w:rsid w:val="000D146C"/>
    <w:rsid w:val="000D2E05"/>
    <w:rsid w:val="000D553F"/>
    <w:rsid w:val="000D5FA4"/>
    <w:rsid w:val="000D6EC6"/>
    <w:rsid w:val="000E0BF8"/>
    <w:rsid w:val="000E181A"/>
    <w:rsid w:val="000E3BCC"/>
    <w:rsid w:val="000E52B1"/>
    <w:rsid w:val="000E7EEE"/>
    <w:rsid w:val="000F1977"/>
    <w:rsid w:val="000F2CE9"/>
    <w:rsid w:val="000F4BF6"/>
    <w:rsid w:val="000F52D6"/>
    <w:rsid w:val="000F5600"/>
    <w:rsid w:val="000F7072"/>
    <w:rsid w:val="00101AF6"/>
    <w:rsid w:val="00106071"/>
    <w:rsid w:val="001071DC"/>
    <w:rsid w:val="00113730"/>
    <w:rsid w:val="001179DC"/>
    <w:rsid w:val="00120A7F"/>
    <w:rsid w:val="001270C7"/>
    <w:rsid w:val="00130C76"/>
    <w:rsid w:val="00133D17"/>
    <w:rsid w:val="00137927"/>
    <w:rsid w:val="00140866"/>
    <w:rsid w:val="00140C3C"/>
    <w:rsid w:val="00141BEF"/>
    <w:rsid w:val="00141F11"/>
    <w:rsid w:val="00142C40"/>
    <w:rsid w:val="001440DF"/>
    <w:rsid w:val="001471B7"/>
    <w:rsid w:val="001505FF"/>
    <w:rsid w:val="0015065B"/>
    <w:rsid w:val="0015592E"/>
    <w:rsid w:val="00156CC6"/>
    <w:rsid w:val="00170418"/>
    <w:rsid w:val="00170C9A"/>
    <w:rsid w:val="00171A5B"/>
    <w:rsid w:val="00171D29"/>
    <w:rsid w:val="00183812"/>
    <w:rsid w:val="001850DE"/>
    <w:rsid w:val="001857C0"/>
    <w:rsid w:val="00185FF0"/>
    <w:rsid w:val="00192E1C"/>
    <w:rsid w:val="0019442E"/>
    <w:rsid w:val="00194E5C"/>
    <w:rsid w:val="0019551E"/>
    <w:rsid w:val="00195F37"/>
    <w:rsid w:val="00195F9E"/>
    <w:rsid w:val="001960C5"/>
    <w:rsid w:val="001A044C"/>
    <w:rsid w:val="001A21FE"/>
    <w:rsid w:val="001A3E15"/>
    <w:rsid w:val="001A730A"/>
    <w:rsid w:val="001A794F"/>
    <w:rsid w:val="001A7BD4"/>
    <w:rsid w:val="001B5AAE"/>
    <w:rsid w:val="001B5D40"/>
    <w:rsid w:val="001B6710"/>
    <w:rsid w:val="001B6A67"/>
    <w:rsid w:val="001B7C0B"/>
    <w:rsid w:val="001B7E4E"/>
    <w:rsid w:val="001C25BE"/>
    <w:rsid w:val="001C2E38"/>
    <w:rsid w:val="001C3C10"/>
    <w:rsid w:val="001C757A"/>
    <w:rsid w:val="001D22CE"/>
    <w:rsid w:val="001D4CFA"/>
    <w:rsid w:val="001D77F8"/>
    <w:rsid w:val="001D7A7A"/>
    <w:rsid w:val="001E38BC"/>
    <w:rsid w:val="001E3F6C"/>
    <w:rsid w:val="001E415C"/>
    <w:rsid w:val="001E4EAA"/>
    <w:rsid w:val="001E77E5"/>
    <w:rsid w:val="001E7B4F"/>
    <w:rsid w:val="001F36DA"/>
    <w:rsid w:val="001F5C39"/>
    <w:rsid w:val="00200595"/>
    <w:rsid w:val="002018D4"/>
    <w:rsid w:val="00207C97"/>
    <w:rsid w:val="0021273B"/>
    <w:rsid w:val="00214D7F"/>
    <w:rsid w:val="00220170"/>
    <w:rsid w:val="0022083B"/>
    <w:rsid w:val="0022238B"/>
    <w:rsid w:val="00222E32"/>
    <w:rsid w:val="002233D1"/>
    <w:rsid w:val="00224B69"/>
    <w:rsid w:val="00224EF5"/>
    <w:rsid w:val="002261FC"/>
    <w:rsid w:val="00227969"/>
    <w:rsid w:val="00232CA4"/>
    <w:rsid w:val="002345A7"/>
    <w:rsid w:val="00234B95"/>
    <w:rsid w:val="00235B4C"/>
    <w:rsid w:val="00236E66"/>
    <w:rsid w:val="00240477"/>
    <w:rsid w:val="00242273"/>
    <w:rsid w:val="0024325E"/>
    <w:rsid w:val="00243D45"/>
    <w:rsid w:val="00247145"/>
    <w:rsid w:val="0024790B"/>
    <w:rsid w:val="00252CBF"/>
    <w:rsid w:val="00254BD0"/>
    <w:rsid w:val="002569A7"/>
    <w:rsid w:val="00260193"/>
    <w:rsid w:val="00260C23"/>
    <w:rsid w:val="002611A3"/>
    <w:rsid w:val="002612B2"/>
    <w:rsid w:val="00261FFE"/>
    <w:rsid w:val="0026273F"/>
    <w:rsid w:val="002629AF"/>
    <w:rsid w:val="00264A3C"/>
    <w:rsid w:val="00265256"/>
    <w:rsid w:val="00272E19"/>
    <w:rsid w:val="00273536"/>
    <w:rsid w:val="0027465F"/>
    <w:rsid w:val="00281510"/>
    <w:rsid w:val="00282245"/>
    <w:rsid w:val="00283FE4"/>
    <w:rsid w:val="0029030E"/>
    <w:rsid w:val="002926C8"/>
    <w:rsid w:val="002948E6"/>
    <w:rsid w:val="002956F0"/>
    <w:rsid w:val="00296D50"/>
    <w:rsid w:val="002977BD"/>
    <w:rsid w:val="002A3A86"/>
    <w:rsid w:val="002A5FB4"/>
    <w:rsid w:val="002A6456"/>
    <w:rsid w:val="002A6BBF"/>
    <w:rsid w:val="002A7436"/>
    <w:rsid w:val="002A7E22"/>
    <w:rsid w:val="002B0E45"/>
    <w:rsid w:val="002B470C"/>
    <w:rsid w:val="002B4860"/>
    <w:rsid w:val="002B7122"/>
    <w:rsid w:val="002C15B3"/>
    <w:rsid w:val="002C7E14"/>
    <w:rsid w:val="002D0CDB"/>
    <w:rsid w:val="002D238E"/>
    <w:rsid w:val="002D2870"/>
    <w:rsid w:val="002D2B98"/>
    <w:rsid w:val="002D525B"/>
    <w:rsid w:val="002D740E"/>
    <w:rsid w:val="002E2761"/>
    <w:rsid w:val="002E3E06"/>
    <w:rsid w:val="002F3048"/>
    <w:rsid w:val="002F3F69"/>
    <w:rsid w:val="002F40FD"/>
    <w:rsid w:val="002F48F0"/>
    <w:rsid w:val="002F4E4C"/>
    <w:rsid w:val="002F5409"/>
    <w:rsid w:val="003018A0"/>
    <w:rsid w:val="00302AC5"/>
    <w:rsid w:val="00302E21"/>
    <w:rsid w:val="00305F02"/>
    <w:rsid w:val="003066B0"/>
    <w:rsid w:val="00307697"/>
    <w:rsid w:val="003123BF"/>
    <w:rsid w:val="00321759"/>
    <w:rsid w:val="00321836"/>
    <w:rsid w:val="003252D1"/>
    <w:rsid w:val="003253FB"/>
    <w:rsid w:val="00325CD0"/>
    <w:rsid w:val="0032733E"/>
    <w:rsid w:val="0033000D"/>
    <w:rsid w:val="00330AF7"/>
    <w:rsid w:val="003312CD"/>
    <w:rsid w:val="00331BEA"/>
    <w:rsid w:val="00333E3D"/>
    <w:rsid w:val="00334E6E"/>
    <w:rsid w:val="0033603B"/>
    <w:rsid w:val="00343384"/>
    <w:rsid w:val="003435CF"/>
    <w:rsid w:val="00343C7C"/>
    <w:rsid w:val="003453EC"/>
    <w:rsid w:val="00345B04"/>
    <w:rsid w:val="00346B8D"/>
    <w:rsid w:val="00346FFD"/>
    <w:rsid w:val="00354989"/>
    <w:rsid w:val="00354FAB"/>
    <w:rsid w:val="00355CB6"/>
    <w:rsid w:val="003577B2"/>
    <w:rsid w:val="003607BD"/>
    <w:rsid w:val="00362188"/>
    <w:rsid w:val="00363CFF"/>
    <w:rsid w:val="003663C5"/>
    <w:rsid w:val="003667AD"/>
    <w:rsid w:val="00370B45"/>
    <w:rsid w:val="00371C1B"/>
    <w:rsid w:val="00371CB9"/>
    <w:rsid w:val="00372EEB"/>
    <w:rsid w:val="00372F01"/>
    <w:rsid w:val="00373FB3"/>
    <w:rsid w:val="003745B8"/>
    <w:rsid w:val="00374DF9"/>
    <w:rsid w:val="0038042B"/>
    <w:rsid w:val="00384C03"/>
    <w:rsid w:val="00387D0F"/>
    <w:rsid w:val="00390CC1"/>
    <w:rsid w:val="00395835"/>
    <w:rsid w:val="00396EAB"/>
    <w:rsid w:val="003A07C1"/>
    <w:rsid w:val="003A0C33"/>
    <w:rsid w:val="003A12F1"/>
    <w:rsid w:val="003A2868"/>
    <w:rsid w:val="003A32DE"/>
    <w:rsid w:val="003A395B"/>
    <w:rsid w:val="003A7325"/>
    <w:rsid w:val="003A7537"/>
    <w:rsid w:val="003A7B4E"/>
    <w:rsid w:val="003B0BCE"/>
    <w:rsid w:val="003B12A7"/>
    <w:rsid w:val="003B3097"/>
    <w:rsid w:val="003B6579"/>
    <w:rsid w:val="003C2416"/>
    <w:rsid w:val="003C49D2"/>
    <w:rsid w:val="003C5015"/>
    <w:rsid w:val="003C6D0C"/>
    <w:rsid w:val="003D09F3"/>
    <w:rsid w:val="003D53D1"/>
    <w:rsid w:val="003D6C34"/>
    <w:rsid w:val="003E075F"/>
    <w:rsid w:val="003E1D19"/>
    <w:rsid w:val="003E1F22"/>
    <w:rsid w:val="003E1FB5"/>
    <w:rsid w:val="003E2847"/>
    <w:rsid w:val="003E30BF"/>
    <w:rsid w:val="003E49D1"/>
    <w:rsid w:val="003E7A59"/>
    <w:rsid w:val="003F2D69"/>
    <w:rsid w:val="003F4CDF"/>
    <w:rsid w:val="004021D3"/>
    <w:rsid w:val="0040345A"/>
    <w:rsid w:val="00404B84"/>
    <w:rsid w:val="004060EA"/>
    <w:rsid w:val="0041140B"/>
    <w:rsid w:val="004115B2"/>
    <w:rsid w:val="00413B5C"/>
    <w:rsid w:val="00420C89"/>
    <w:rsid w:val="00424412"/>
    <w:rsid w:val="00424783"/>
    <w:rsid w:val="0042638C"/>
    <w:rsid w:val="00427046"/>
    <w:rsid w:val="00430EBE"/>
    <w:rsid w:val="00432F0F"/>
    <w:rsid w:val="00433AF8"/>
    <w:rsid w:val="0043753E"/>
    <w:rsid w:val="0044049B"/>
    <w:rsid w:val="004435FF"/>
    <w:rsid w:val="00443987"/>
    <w:rsid w:val="00445DF3"/>
    <w:rsid w:val="00451718"/>
    <w:rsid w:val="004536FD"/>
    <w:rsid w:val="00453E8B"/>
    <w:rsid w:val="00454650"/>
    <w:rsid w:val="00455936"/>
    <w:rsid w:val="00460599"/>
    <w:rsid w:val="00461088"/>
    <w:rsid w:val="00461F24"/>
    <w:rsid w:val="004630F1"/>
    <w:rsid w:val="00474DB9"/>
    <w:rsid w:val="00475425"/>
    <w:rsid w:val="004821DE"/>
    <w:rsid w:val="00482688"/>
    <w:rsid w:val="00483B7C"/>
    <w:rsid w:val="004855FF"/>
    <w:rsid w:val="00487E39"/>
    <w:rsid w:val="00490B6A"/>
    <w:rsid w:val="00492738"/>
    <w:rsid w:val="004949C7"/>
    <w:rsid w:val="00496563"/>
    <w:rsid w:val="00496DC6"/>
    <w:rsid w:val="004974AF"/>
    <w:rsid w:val="00497872"/>
    <w:rsid w:val="004978A4"/>
    <w:rsid w:val="004978D1"/>
    <w:rsid w:val="00497D9C"/>
    <w:rsid w:val="004A6532"/>
    <w:rsid w:val="004A66CC"/>
    <w:rsid w:val="004B0041"/>
    <w:rsid w:val="004B165C"/>
    <w:rsid w:val="004B1D87"/>
    <w:rsid w:val="004B2A22"/>
    <w:rsid w:val="004B46EC"/>
    <w:rsid w:val="004B685A"/>
    <w:rsid w:val="004B752A"/>
    <w:rsid w:val="004C0822"/>
    <w:rsid w:val="004D2567"/>
    <w:rsid w:val="004D57B4"/>
    <w:rsid w:val="004D635D"/>
    <w:rsid w:val="004D6F59"/>
    <w:rsid w:val="004E257C"/>
    <w:rsid w:val="004E2EF9"/>
    <w:rsid w:val="004E510B"/>
    <w:rsid w:val="004E62B5"/>
    <w:rsid w:val="004E6E2D"/>
    <w:rsid w:val="004E6F0D"/>
    <w:rsid w:val="004F1CD8"/>
    <w:rsid w:val="004F22B5"/>
    <w:rsid w:val="004F24EE"/>
    <w:rsid w:val="004F3532"/>
    <w:rsid w:val="004F3E77"/>
    <w:rsid w:val="004F52EB"/>
    <w:rsid w:val="004F5455"/>
    <w:rsid w:val="004F636D"/>
    <w:rsid w:val="00503D29"/>
    <w:rsid w:val="0050713E"/>
    <w:rsid w:val="0051191F"/>
    <w:rsid w:val="00511A08"/>
    <w:rsid w:val="00515269"/>
    <w:rsid w:val="005157E5"/>
    <w:rsid w:val="00523F4C"/>
    <w:rsid w:val="005249FF"/>
    <w:rsid w:val="00525926"/>
    <w:rsid w:val="005272A1"/>
    <w:rsid w:val="005312EE"/>
    <w:rsid w:val="00532734"/>
    <w:rsid w:val="005335DB"/>
    <w:rsid w:val="005341B3"/>
    <w:rsid w:val="00535B11"/>
    <w:rsid w:val="00537D32"/>
    <w:rsid w:val="00540B2C"/>
    <w:rsid w:val="00541092"/>
    <w:rsid w:val="00544411"/>
    <w:rsid w:val="00544CCD"/>
    <w:rsid w:val="00544EA7"/>
    <w:rsid w:val="00545BE3"/>
    <w:rsid w:val="00552010"/>
    <w:rsid w:val="00553901"/>
    <w:rsid w:val="0055397A"/>
    <w:rsid w:val="00554D20"/>
    <w:rsid w:val="00556E38"/>
    <w:rsid w:val="00561A2B"/>
    <w:rsid w:val="00562ABF"/>
    <w:rsid w:val="00563180"/>
    <w:rsid w:val="00563E22"/>
    <w:rsid w:val="00566F98"/>
    <w:rsid w:val="0057014E"/>
    <w:rsid w:val="005701DD"/>
    <w:rsid w:val="00570D9E"/>
    <w:rsid w:val="00572013"/>
    <w:rsid w:val="00574953"/>
    <w:rsid w:val="00574C43"/>
    <w:rsid w:val="0057753C"/>
    <w:rsid w:val="005775BB"/>
    <w:rsid w:val="005804E5"/>
    <w:rsid w:val="00580CC5"/>
    <w:rsid w:val="0058283B"/>
    <w:rsid w:val="005852E9"/>
    <w:rsid w:val="00587505"/>
    <w:rsid w:val="00587985"/>
    <w:rsid w:val="005A0053"/>
    <w:rsid w:val="005A1C1B"/>
    <w:rsid w:val="005A654F"/>
    <w:rsid w:val="005A6C75"/>
    <w:rsid w:val="005B1B2C"/>
    <w:rsid w:val="005B2F53"/>
    <w:rsid w:val="005B490A"/>
    <w:rsid w:val="005B63E7"/>
    <w:rsid w:val="005B6674"/>
    <w:rsid w:val="005B7BEF"/>
    <w:rsid w:val="005C262E"/>
    <w:rsid w:val="005D3270"/>
    <w:rsid w:val="005D4B9B"/>
    <w:rsid w:val="005D7A90"/>
    <w:rsid w:val="005E04E9"/>
    <w:rsid w:val="005E1718"/>
    <w:rsid w:val="005E2422"/>
    <w:rsid w:val="005E3A05"/>
    <w:rsid w:val="005E45D9"/>
    <w:rsid w:val="005F0DFA"/>
    <w:rsid w:val="005F42D8"/>
    <w:rsid w:val="00601015"/>
    <w:rsid w:val="006012D9"/>
    <w:rsid w:val="00601EBE"/>
    <w:rsid w:val="006052C3"/>
    <w:rsid w:val="006054BB"/>
    <w:rsid w:val="00606761"/>
    <w:rsid w:val="00606A76"/>
    <w:rsid w:val="00606E1B"/>
    <w:rsid w:val="00607059"/>
    <w:rsid w:val="00607B1B"/>
    <w:rsid w:val="00611C21"/>
    <w:rsid w:val="00614E6C"/>
    <w:rsid w:val="00616CDD"/>
    <w:rsid w:val="00616F3F"/>
    <w:rsid w:val="00620111"/>
    <w:rsid w:val="00621045"/>
    <w:rsid w:val="00623BF9"/>
    <w:rsid w:val="00632B91"/>
    <w:rsid w:val="00637308"/>
    <w:rsid w:val="006401D4"/>
    <w:rsid w:val="00641F9A"/>
    <w:rsid w:val="00645784"/>
    <w:rsid w:val="006469C5"/>
    <w:rsid w:val="0065175D"/>
    <w:rsid w:val="00657623"/>
    <w:rsid w:val="00661C38"/>
    <w:rsid w:val="00661F27"/>
    <w:rsid w:val="00664199"/>
    <w:rsid w:val="00664E0E"/>
    <w:rsid w:val="00665199"/>
    <w:rsid w:val="00670FE7"/>
    <w:rsid w:val="006711C5"/>
    <w:rsid w:val="00671CF8"/>
    <w:rsid w:val="00671F37"/>
    <w:rsid w:val="00672869"/>
    <w:rsid w:val="006806C7"/>
    <w:rsid w:val="006811A5"/>
    <w:rsid w:val="0068224E"/>
    <w:rsid w:val="006830F2"/>
    <w:rsid w:val="006851DF"/>
    <w:rsid w:val="00685A3D"/>
    <w:rsid w:val="00686372"/>
    <w:rsid w:val="00690035"/>
    <w:rsid w:val="00690F60"/>
    <w:rsid w:val="006912B5"/>
    <w:rsid w:val="00694465"/>
    <w:rsid w:val="00695E50"/>
    <w:rsid w:val="00696464"/>
    <w:rsid w:val="006A0A5C"/>
    <w:rsid w:val="006A1555"/>
    <w:rsid w:val="006A1DB8"/>
    <w:rsid w:val="006A24E4"/>
    <w:rsid w:val="006A48F0"/>
    <w:rsid w:val="006A5A5D"/>
    <w:rsid w:val="006A7B24"/>
    <w:rsid w:val="006B1168"/>
    <w:rsid w:val="006B33A1"/>
    <w:rsid w:val="006B446C"/>
    <w:rsid w:val="006C1142"/>
    <w:rsid w:val="006C1411"/>
    <w:rsid w:val="006C306A"/>
    <w:rsid w:val="006C63ED"/>
    <w:rsid w:val="006C6524"/>
    <w:rsid w:val="006D0E4D"/>
    <w:rsid w:val="006D110A"/>
    <w:rsid w:val="006D11B7"/>
    <w:rsid w:val="006D2BC0"/>
    <w:rsid w:val="006D4D10"/>
    <w:rsid w:val="006D5C5F"/>
    <w:rsid w:val="006D6289"/>
    <w:rsid w:val="006D67C9"/>
    <w:rsid w:val="006D72B5"/>
    <w:rsid w:val="006E22C4"/>
    <w:rsid w:val="006E2956"/>
    <w:rsid w:val="006E583B"/>
    <w:rsid w:val="006F0B58"/>
    <w:rsid w:val="006F0F9C"/>
    <w:rsid w:val="006F10FD"/>
    <w:rsid w:val="006F51A1"/>
    <w:rsid w:val="006F584F"/>
    <w:rsid w:val="006F625C"/>
    <w:rsid w:val="006F6544"/>
    <w:rsid w:val="006F65DD"/>
    <w:rsid w:val="006F6AFC"/>
    <w:rsid w:val="006F71A5"/>
    <w:rsid w:val="00702A2B"/>
    <w:rsid w:val="00703573"/>
    <w:rsid w:val="00706567"/>
    <w:rsid w:val="00707ABB"/>
    <w:rsid w:val="00707C06"/>
    <w:rsid w:val="00711BF7"/>
    <w:rsid w:val="00714F56"/>
    <w:rsid w:val="0071501D"/>
    <w:rsid w:val="0071580B"/>
    <w:rsid w:val="0072016B"/>
    <w:rsid w:val="00724067"/>
    <w:rsid w:val="00730D01"/>
    <w:rsid w:val="007345FF"/>
    <w:rsid w:val="0073741E"/>
    <w:rsid w:val="007379B6"/>
    <w:rsid w:val="00740656"/>
    <w:rsid w:val="007418CA"/>
    <w:rsid w:val="00743DBD"/>
    <w:rsid w:val="007456A6"/>
    <w:rsid w:val="0075172C"/>
    <w:rsid w:val="0075240F"/>
    <w:rsid w:val="00752D24"/>
    <w:rsid w:val="007541D1"/>
    <w:rsid w:val="00754C8B"/>
    <w:rsid w:val="00755BE1"/>
    <w:rsid w:val="007565E2"/>
    <w:rsid w:val="00762C99"/>
    <w:rsid w:val="00766093"/>
    <w:rsid w:val="007706F0"/>
    <w:rsid w:val="00770C44"/>
    <w:rsid w:val="007716FD"/>
    <w:rsid w:val="00774B79"/>
    <w:rsid w:val="00780A5B"/>
    <w:rsid w:val="007817D1"/>
    <w:rsid w:val="00793126"/>
    <w:rsid w:val="00795AC1"/>
    <w:rsid w:val="00795E97"/>
    <w:rsid w:val="007A22F9"/>
    <w:rsid w:val="007A2872"/>
    <w:rsid w:val="007A6DB9"/>
    <w:rsid w:val="007A7110"/>
    <w:rsid w:val="007B0DFD"/>
    <w:rsid w:val="007B2F89"/>
    <w:rsid w:val="007B587C"/>
    <w:rsid w:val="007C0F2B"/>
    <w:rsid w:val="007C5B6C"/>
    <w:rsid w:val="007C64A3"/>
    <w:rsid w:val="007C6F62"/>
    <w:rsid w:val="007C7826"/>
    <w:rsid w:val="007D3ECA"/>
    <w:rsid w:val="007D7CAE"/>
    <w:rsid w:val="007E1930"/>
    <w:rsid w:val="007E1C62"/>
    <w:rsid w:val="007E3314"/>
    <w:rsid w:val="007E4580"/>
    <w:rsid w:val="007E6B92"/>
    <w:rsid w:val="007F0C44"/>
    <w:rsid w:val="007F19D5"/>
    <w:rsid w:val="007F1DB2"/>
    <w:rsid w:val="007F3CD1"/>
    <w:rsid w:val="007F4444"/>
    <w:rsid w:val="00802405"/>
    <w:rsid w:val="00803C71"/>
    <w:rsid w:val="0080460F"/>
    <w:rsid w:val="00805407"/>
    <w:rsid w:val="00805B4A"/>
    <w:rsid w:val="00805D66"/>
    <w:rsid w:val="00805F1B"/>
    <w:rsid w:val="00806D85"/>
    <w:rsid w:val="008156AC"/>
    <w:rsid w:val="00820A80"/>
    <w:rsid w:val="00822924"/>
    <w:rsid w:val="00824278"/>
    <w:rsid w:val="00824930"/>
    <w:rsid w:val="00824B24"/>
    <w:rsid w:val="00825DFA"/>
    <w:rsid w:val="00826802"/>
    <w:rsid w:val="00830283"/>
    <w:rsid w:val="00832024"/>
    <w:rsid w:val="00832486"/>
    <w:rsid w:val="00833BBF"/>
    <w:rsid w:val="00833C98"/>
    <w:rsid w:val="00840C4D"/>
    <w:rsid w:val="00842AA0"/>
    <w:rsid w:val="008438A0"/>
    <w:rsid w:val="00844FD2"/>
    <w:rsid w:val="00845160"/>
    <w:rsid w:val="00845D36"/>
    <w:rsid w:val="00846A34"/>
    <w:rsid w:val="00850F21"/>
    <w:rsid w:val="00852F5F"/>
    <w:rsid w:val="00855C9D"/>
    <w:rsid w:val="0085650F"/>
    <w:rsid w:val="00856653"/>
    <w:rsid w:val="00860AA9"/>
    <w:rsid w:val="00863C1A"/>
    <w:rsid w:val="008652FB"/>
    <w:rsid w:val="00866412"/>
    <w:rsid w:val="008677B3"/>
    <w:rsid w:val="008706FB"/>
    <w:rsid w:val="0087530A"/>
    <w:rsid w:val="00876BFE"/>
    <w:rsid w:val="008815E5"/>
    <w:rsid w:val="00883368"/>
    <w:rsid w:val="0088433A"/>
    <w:rsid w:val="00885879"/>
    <w:rsid w:val="00885C59"/>
    <w:rsid w:val="00896AC2"/>
    <w:rsid w:val="008A0DF4"/>
    <w:rsid w:val="008A313A"/>
    <w:rsid w:val="008A76E5"/>
    <w:rsid w:val="008A7B30"/>
    <w:rsid w:val="008A7C15"/>
    <w:rsid w:val="008B0FA8"/>
    <w:rsid w:val="008B3A0B"/>
    <w:rsid w:val="008B4691"/>
    <w:rsid w:val="008B505B"/>
    <w:rsid w:val="008B5939"/>
    <w:rsid w:val="008B6523"/>
    <w:rsid w:val="008B6A77"/>
    <w:rsid w:val="008C1E98"/>
    <w:rsid w:val="008C70B6"/>
    <w:rsid w:val="008D0961"/>
    <w:rsid w:val="008D1D3A"/>
    <w:rsid w:val="008D6202"/>
    <w:rsid w:val="008D67B3"/>
    <w:rsid w:val="008D771D"/>
    <w:rsid w:val="008E0C08"/>
    <w:rsid w:val="008E0D31"/>
    <w:rsid w:val="008E2CB5"/>
    <w:rsid w:val="008E3492"/>
    <w:rsid w:val="008E38E7"/>
    <w:rsid w:val="008E3D9A"/>
    <w:rsid w:val="008E5F61"/>
    <w:rsid w:val="008E61E5"/>
    <w:rsid w:val="008E6EAD"/>
    <w:rsid w:val="008E7C45"/>
    <w:rsid w:val="008F07D9"/>
    <w:rsid w:val="008F12EA"/>
    <w:rsid w:val="008F71EB"/>
    <w:rsid w:val="00902542"/>
    <w:rsid w:val="0090431F"/>
    <w:rsid w:val="00906A13"/>
    <w:rsid w:val="00910F08"/>
    <w:rsid w:val="00912A9E"/>
    <w:rsid w:val="009131E2"/>
    <w:rsid w:val="00913611"/>
    <w:rsid w:val="00913672"/>
    <w:rsid w:val="00915ECB"/>
    <w:rsid w:val="009171A6"/>
    <w:rsid w:val="009224EB"/>
    <w:rsid w:val="00922C2D"/>
    <w:rsid w:val="00925567"/>
    <w:rsid w:val="0092665E"/>
    <w:rsid w:val="0093202E"/>
    <w:rsid w:val="00932816"/>
    <w:rsid w:val="00932A2F"/>
    <w:rsid w:val="00932A70"/>
    <w:rsid w:val="00932F23"/>
    <w:rsid w:val="00932FA8"/>
    <w:rsid w:val="00934152"/>
    <w:rsid w:val="009342EA"/>
    <w:rsid w:val="00940B6B"/>
    <w:rsid w:val="009437C0"/>
    <w:rsid w:val="00944547"/>
    <w:rsid w:val="00944FDA"/>
    <w:rsid w:val="00945A71"/>
    <w:rsid w:val="0095023C"/>
    <w:rsid w:val="00951A14"/>
    <w:rsid w:val="00952262"/>
    <w:rsid w:val="00953425"/>
    <w:rsid w:val="0095363D"/>
    <w:rsid w:val="0095376C"/>
    <w:rsid w:val="0095664A"/>
    <w:rsid w:val="009617D0"/>
    <w:rsid w:val="00961DB2"/>
    <w:rsid w:val="0096345A"/>
    <w:rsid w:val="009640FF"/>
    <w:rsid w:val="00964D83"/>
    <w:rsid w:val="00965B4F"/>
    <w:rsid w:val="00967B28"/>
    <w:rsid w:val="00970EB2"/>
    <w:rsid w:val="00972780"/>
    <w:rsid w:val="00972E32"/>
    <w:rsid w:val="00973EF7"/>
    <w:rsid w:val="009803EC"/>
    <w:rsid w:val="00981999"/>
    <w:rsid w:val="009822CD"/>
    <w:rsid w:val="0098282D"/>
    <w:rsid w:val="00983F9A"/>
    <w:rsid w:val="009860C6"/>
    <w:rsid w:val="00986384"/>
    <w:rsid w:val="00986B89"/>
    <w:rsid w:val="00992B41"/>
    <w:rsid w:val="009955E2"/>
    <w:rsid w:val="009972A9"/>
    <w:rsid w:val="009A158E"/>
    <w:rsid w:val="009A52E2"/>
    <w:rsid w:val="009A5A33"/>
    <w:rsid w:val="009A6976"/>
    <w:rsid w:val="009B0EEF"/>
    <w:rsid w:val="009B201D"/>
    <w:rsid w:val="009B2C2B"/>
    <w:rsid w:val="009B703E"/>
    <w:rsid w:val="009C1827"/>
    <w:rsid w:val="009C395D"/>
    <w:rsid w:val="009C474A"/>
    <w:rsid w:val="009C499A"/>
    <w:rsid w:val="009C7471"/>
    <w:rsid w:val="009D2805"/>
    <w:rsid w:val="009D3BD5"/>
    <w:rsid w:val="009E01CD"/>
    <w:rsid w:val="009E0E79"/>
    <w:rsid w:val="009E242B"/>
    <w:rsid w:val="009E47F7"/>
    <w:rsid w:val="009E6E64"/>
    <w:rsid w:val="009F1AA5"/>
    <w:rsid w:val="009F2951"/>
    <w:rsid w:val="009F36BD"/>
    <w:rsid w:val="009F4B9D"/>
    <w:rsid w:val="009F4BED"/>
    <w:rsid w:val="00A00E2E"/>
    <w:rsid w:val="00A0501F"/>
    <w:rsid w:val="00A114C6"/>
    <w:rsid w:val="00A17CBE"/>
    <w:rsid w:val="00A17EFE"/>
    <w:rsid w:val="00A20A37"/>
    <w:rsid w:val="00A22006"/>
    <w:rsid w:val="00A250A8"/>
    <w:rsid w:val="00A30E2A"/>
    <w:rsid w:val="00A31145"/>
    <w:rsid w:val="00A32159"/>
    <w:rsid w:val="00A322B6"/>
    <w:rsid w:val="00A32499"/>
    <w:rsid w:val="00A32A02"/>
    <w:rsid w:val="00A32C3E"/>
    <w:rsid w:val="00A3350F"/>
    <w:rsid w:val="00A33FFE"/>
    <w:rsid w:val="00A364DE"/>
    <w:rsid w:val="00A4195F"/>
    <w:rsid w:val="00A458DC"/>
    <w:rsid w:val="00A45F4A"/>
    <w:rsid w:val="00A50460"/>
    <w:rsid w:val="00A52E7B"/>
    <w:rsid w:val="00A541D3"/>
    <w:rsid w:val="00A544AF"/>
    <w:rsid w:val="00A5461B"/>
    <w:rsid w:val="00A54C2B"/>
    <w:rsid w:val="00A57318"/>
    <w:rsid w:val="00A62E70"/>
    <w:rsid w:val="00A65E88"/>
    <w:rsid w:val="00A6672D"/>
    <w:rsid w:val="00A67182"/>
    <w:rsid w:val="00A707D4"/>
    <w:rsid w:val="00A70E51"/>
    <w:rsid w:val="00A70F0F"/>
    <w:rsid w:val="00A712D1"/>
    <w:rsid w:val="00A7435B"/>
    <w:rsid w:val="00A761AE"/>
    <w:rsid w:val="00A82843"/>
    <w:rsid w:val="00A83DFF"/>
    <w:rsid w:val="00A93849"/>
    <w:rsid w:val="00A95D24"/>
    <w:rsid w:val="00A96E50"/>
    <w:rsid w:val="00AA30A2"/>
    <w:rsid w:val="00AA5818"/>
    <w:rsid w:val="00AA787D"/>
    <w:rsid w:val="00AB1BE6"/>
    <w:rsid w:val="00AB5CCF"/>
    <w:rsid w:val="00AB5D1A"/>
    <w:rsid w:val="00AC0A80"/>
    <w:rsid w:val="00AC0BF2"/>
    <w:rsid w:val="00AC2349"/>
    <w:rsid w:val="00AC4217"/>
    <w:rsid w:val="00AC5F49"/>
    <w:rsid w:val="00AC677F"/>
    <w:rsid w:val="00AD3184"/>
    <w:rsid w:val="00AD4BD8"/>
    <w:rsid w:val="00AD5A85"/>
    <w:rsid w:val="00AE29C2"/>
    <w:rsid w:val="00AE4535"/>
    <w:rsid w:val="00AE54F0"/>
    <w:rsid w:val="00AE57F7"/>
    <w:rsid w:val="00AE73AF"/>
    <w:rsid w:val="00AF12E4"/>
    <w:rsid w:val="00AF1E93"/>
    <w:rsid w:val="00AF3D31"/>
    <w:rsid w:val="00AF666B"/>
    <w:rsid w:val="00AF7BA1"/>
    <w:rsid w:val="00B01B24"/>
    <w:rsid w:val="00B01F6C"/>
    <w:rsid w:val="00B0313D"/>
    <w:rsid w:val="00B03C79"/>
    <w:rsid w:val="00B06061"/>
    <w:rsid w:val="00B1086F"/>
    <w:rsid w:val="00B13719"/>
    <w:rsid w:val="00B14335"/>
    <w:rsid w:val="00B14501"/>
    <w:rsid w:val="00B242CB"/>
    <w:rsid w:val="00B30124"/>
    <w:rsid w:val="00B314F9"/>
    <w:rsid w:val="00B329C9"/>
    <w:rsid w:val="00B33DF1"/>
    <w:rsid w:val="00B33F81"/>
    <w:rsid w:val="00B37DBB"/>
    <w:rsid w:val="00B40C5A"/>
    <w:rsid w:val="00B43648"/>
    <w:rsid w:val="00B44079"/>
    <w:rsid w:val="00B4439E"/>
    <w:rsid w:val="00B44B17"/>
    <w:rsid w:val="00B47646"/>
    <w:rsid w:val="00B47A9C"/>
    <w:rsid w:val="00B52530"/>
    <w:rsid w:val="00B52B88"/>
    <w:rsid w:val="00B607DF"/>
    <w:rsid w:val="00B6394B"/>
    <w:rsid w:val="00B67276"/>
    <w:rsid w:val="00B701B7"/>
    <w:rsid w:val="00B7236D"/>
    <w:rsid w:val="00B72D83"/>
    <w:rsid w:val="00B73818"/>
    <w:rsid w:val="00B76CFC"/>
    <w:rsid w:val="00B827FB"/>
    <w:rsid w:val="00B84ADC"/>
    <w:rsid w:val="00B85007"/>
    <w:rsid w:val="00B85BF9"/>
    <w:rsid w:val="00B86D1A"/>
    <w:rsid w:val="00B935F2"/>
    <w:rsid w:val="00B93A13"/>
    <w:rsid w:val="00BA2069"/>
    <w:rsid w:val="00BA239F"/>
    <w:rsid w:val="00BA4E4B"/>
    <w:rsid w:val="00BA4FBD"/>
    <w:rsid w:val="00BA6631"/>
    <w:rsid w:val="00BA733F"/>
    <w:rsid w:val="00BB1A5C"/>
    <w:rsid w:val="00BB313B"/>
    <w:rsid w:val="00BC20A9"/>
    <w:rsid w:val="00BC35EB"/>
    <w:rsid w:val="00BC59AB"/>
    <w:rsid w:val="00BC6280"/>
    <w:rsid w:val="00BD06E1"/>
    <w:rsid w:val="00BD1847"/>
    <w:rsid w:val="00BD1C6E"/>
    <w:rsid w:val="00BD2653"/>
    <w:rsid w:val="00BD4A83"/>
    <w:rsid w:val="00BD5B20"/>
    <w:rsid w:val="00BD77D1"/>
    <w:rsid w:val="00BE0A14"/>
    <w:rsid w:val="00BE1782"/>
    <w:rsid w:val="00BE470B"/>
    <w:rsid w:val="00BE63B6"/>
    <w:rsid w:val="00BE6C0D"/>
    <w:rsid w:val="00BE6C8C"/>
    <w:rsid w:val="00BF226C"/>
    <w:rsid w:val="00BF4945"/>
    <w:rsid w:val="00C0309A"/>
    <w:rsid w:val="00C0467A"/>
    <w:rsid w:val="00C06A56"/>
    <w:rsid w:val="00C07E15"/>
    <w:rsid w:val="00C1006E"/>
    <w:rsid w:val="00C11406"/>
    <w:rsid w:val="00C1182C"/>
    <w:rsid w:val="00C13CE2"/>
    <w:rsid w:val="00C15085"/>
    <w:rsid w:val="00C17AB1"/>
    <w:rsid w:val="00C20069"/>
    <w:rsid w:val="00C20418"/>
    <w:rsid w:val="00C209DF"/>
    <w:rsid w:val="00C21486"/>
    <w:rsid w:val="00C21D29"/>
    <w:rsid w:val="00C23085"/>
    <w:rsid w:val="00C2577B"/>
    <w:rsid w:val="00C30D1A"/>
    <w:rsid w:val="00C337F4"/>
    <w:rsid w:val="00C346E8"/>
    <w:rsid w:val="00C358C8"/>
    <w:rsid w:val="00C3697A"/>
    <w:rsid w:val="00C40D70"/>
    <w:rsid w:val="00C43767"/>
    <w:rsid w:val="00C43956"/>
    <w:rsid w:val="00C44B67"/>
    <w:rsid w:val="00C45281"/>
    <w:rsid w:val="00C45EAB"/>
    <w:rsid w:val="00C476E9"/>
    <w:rsid w:val="00C53B60"/>
    <w:rsid w:val="00C54386"/>
    <w:rsid w:val="00C55E66"/>
    <w:rsid w:val="00C57507"/>
    <w:rsid w:val="00C62AF2"/>
    <w:rsid w:val="00C62CB0"/>
    <w:rsid w:val="00C651A4"/>
    <w:rsid w:val="00C662C6"/>
    <w:rsid w:val="00C674B3"/>
    <w:rsid w:val="00C705BE"/>
    <w:rsid w:val="00C7110F"/>
    <w:rsid w:val="00C711FD"/>
    <w:rsid w:val="00C737AE"/>
    <w:rsid w:val="00C73D87"/>
    <w:rsid w:val="00C77CB5"/>
    <w:rsid w:val="00C80958"/>
    <w:rsid w:val="00C84E94"/>
    <w:rsid w:val="00C87A99"/>
    <w:rsid w:val="00C9209A"/>
    <w:rsid w:val="00C921F0"/>
    <w:rsid w:val="00C925BB"/>
    <w:rsid w:val="00C940A9"/>
    <w:rsid w:val="00C95C86"/>
    <w:rsid w:val="00C967A7"/>
    <w:rsid w:val="00CA0972"/>
    <w:rsid w:val="00CA252E"/>
    <w:rsid w:val="00CA2E4E"/>
    <w:rsid w:val="00CA2F07"/>
    <w:rsid w:val="00CA3CD2"/>
    <w:rsid w:val="00CA517A"/>
    <w:rsid w:val="00CB147D"/>
    <w:rsid w:val="00CB2B9C"/>
    <w:rsid w:val="00CB359D"/>
    <w:rsid w:val="00CB3FE8"/>
    <w:rsid w:val="00CB4591"/>
    <w:rsid w:val="00CB6BE4"/>
    <w:rsid w:val="00CB77F8"/>
    <w:rsid w:val="00CB7E7E"/>
    <w:rsid w:val="00CC0431"/>
    <w:rsid w:val="00CC09A1"/>
    <w:rsid w:val="00CC2810"/>
    <w:rsid w:val="00CC309B"/>
    <w:rsid w:val="00CC34EE"/>
    <w:rsid w:val="00CC41F6"/>
    <w:rsid w:val="00CC4271"/>
    <w:rsid w:val="00CC4C2B"/>
    <w:rsid w:val="00CD1A05"/>
    <w:rsid w:val="00CD4CD9"/>
    <w:rsid w:val="00CD5B50"/>
    <w:rsid w:val="00CE010D"/>
    <w:rsid w:val="00CE398F"/>
    <w:rsid w:val="00CE4C7A"/>
    <w:rsid w:val="00CE4D7C"/>
    <w:rsid w:val="00CE5581"/>
    <w:rsid w:val="00CE640E"/>
    <w:rsid w:val="00CF353A"/>
    <w:rsid w:val="00CF3FC3"/>
    <w:rsid w:val="00CF4C39"/>
    <w:rsid w:val="00D00652"/>
    <w:rsid w:val="00D05025"/>
    <w:rsid w:val="00D07AE0"/>
    <w:rsid w:val="00D107D9"/>
    <w:rsid w:val="00D10BCA"/>
    <w:rsid w:val="00D1470D"/>
    <w:rsid w:val="00D159C5"/>
    <w:rsid w:val="00D254B0"/>
    <w:rsid w:val="00D26367"/>
    <w:rsid w:val="00D26A8E"/>
    <w:rsid w:val="00D27337"/>
    <w:rsid w:val="00D27605"/>
    <w:rsid w:val="00D27A77"/>
    <w:rsid w:val="00D30775"/>
    <w:rsid w:val="00D33315"/>
    <w:rsid w:val="00D34888"/>
    <w:rsid w:val="00D34968"/>
    <w:rsid w:val="00D401A4"/>
    <w:rsid w:val="00D404AE"/>
    <w:rsid w:val="00D4129C"/>
    <w:rsid w:val="00D45955"/>
    <w:rsid w:val="00D47994"/>
    <w:rsid w:val="00D51CB2"/>
    <w:rsid w:val="00D51E75"/>
    <w:rsid w:val="00D54BE6"/>
    <w:rsid w:val="00D60D17"/>
    <w:rsid w:val="00D63AB9"/>
    <w:rsid w:val="00D73793"/>
    <w:rsid w:val="00D73A58"/>
    <w:rsid w:val="00D73B82"/>
    <w:rsid w:val="00D74AD5"/>
    <w:rsid w:val="00D75052"/>
    <w:rsid w:val="00D7584E"/>
    <w:rsid w:val="00D76128"/>
    <w:rsid w:val="00D774E4"/>
    <w:rsid w:val="00D80280"/>
    <w:rsid w:val="00D813A1"/>
    <w:rsid w:val="00D847D0"/>
    <w:rsid w:val="00D90CB2"/>
    <w:rsid w:val="00D91622"/>
    <w:rsid w:val="00D92674"/>
    <w:rsid w:val="00D941C1"/>
    <w:rsid w:val="00D94283"/>
    <w:rsid w:val="00D97E3D"/>
    <w:rsid w:val="00DA5B6C"/>
    <w:rsid w:val="00DA6094"/>
    <w:rsid w:val="00DA7071"/>
    <w:rsid w:val="00DA7459"/>
    <w:rsid w:val="00DB4B1D"/>
    <w:rsid w:val="00DB4F90"/>
    <w:rsid w:val="00DB5A7D"/>
    <w:rsid w:val="00DC036B"/>
    <w:rsid w:val="00DC0F43"/>
    <w:rsid w:val="00DC1F58"/>
    <w:rsid w:val="00DC2A28"/>
    <w:rsid w:val="00DD01DA"/>
    <w:rsid w:val="00DD0225"/>
    <w:rsid w:val="00DD182A"/>
    <w:rsid w:val="00DD2222"/>
    <w:rsid w:val="00DD4F1B"/>
    <w:rsid w:val="00DD66CB"/>
    <w:rsid w:val="00DE3601"/>
    <w:rsid w:val="00DE3AFA"/>
    <w:rsid w:val="00DE4D3C"/>
    <w:rsid w:val="00DE74D8"/>
    <w:rsid w:val="00DF5E0D"/>
    <w:rsid w:val="00E0302D"/>
    <w:rsid w:val="00E04D10"/>
    <w:rsid w:val="00E070C2"/>
    <w:rsid w:val="00E1033A"/>
    <w:rsid w:val="00E10569"/>
    <w:rsid w:val="00E1185C"/>
    <w:rsid w:val="00E1261C"/>
    <w:rsid w:val="00E12C80"/>
    <w:rsid w:val="00E14CBB"/>
    <w:rsid w:val="00E15D5A"/>
    <w:rsid w:val="00E20BF6"/>
    <w:rsid w:val="00E226BD"/>
    <w:rsid w:val="00E22F03"/>
    <w:rsid w:val="00E23732"/>
    <w:rsid w:val="00E23C12"/>
    <w:rsid w:val="00E26984"/>
    <w:rsid w:val="00E26FEC"/>
    <w:rsid w:val="00E3326E"/>
    <w:rsid w:val="00E3375A"/>
    <w:rsid w:val="00E3440E"/>
    <w:rsid w:val="00E34996"/>
    <w:rsid w:val="00E40204"/>
    <w:rsid w:val="00E42EE6"/>
    <w:rsid w:val="00E446E0"/>
    <w:rsid w:val="00E467CE"/>
    <w:rsid w:val="00E4716D"/>
    <w:rsid w:val="00E50D4C"/>
    <w:rsid w:val="00E53D87"/>
    <w:rsid w:val="00E56AAB"/>
    <w:rsid w:val="00E62F22"/>
    <w:rsid w:val="00E64514"/>
    <w:rsid w:val="00E703FF"/>
    <w:rsid w:val="00E80DFC"/>
    <w:rsid w:val="00E84BE4"/>
    <w:rsid w:val="00E86033"/>
    <w:rsid w:val="00E9145E"/>
    <w:rsid w:val="00E93453"/>
    <w:rsid w:val="00E9383B"/>
    <w:rsid w:val="00E93DF3"/>
    <w:rsid w:val="00E95B2E"/>
    <w:rsid w:val="00EA008A"/>
    <w:rsid w:val="00EA0212"/>
    <w:rsid w:val="00EA04A2"/>
    <w:rsid w:val="00EA076A"/>
    <w:rsid w:val="00EA2CEB"/>
    <w:rsid w:val="00EA2EB1"/>
    <w:rsid w:val="00EA483A"/>
    <w:rsid w:val="00EA7A2C"/>
    <w:rsid w:val="00EA7F15"/>
    <w:rsid w:val="00EB742E"/>
    <w:rsid w:val="00EC3566"/>
    <w:rsid w:val="00EC3861"/>
    <w:rsid w:val="00EC4687"/>
    <w:rsid w:val="00EC51D2"/>
    <w:rsid w:val="00EC5717"/>
    <w:rsid w:val="00EC5C50"/>
    <w:rsid w:val="00EC71FA"/>
    <w:rsid w:val="00ED1158"/>
    <w:rsid w:val="00ED128D"/>
    <w:rsid w:val="00ED15AA"/>
    <w:rsid w:val="00ED18ED"/>
    <w:rsid w:val="00ED2353"/>
    <w:rsid w:val="00ED4E87"/>
    <w:rsid w:val="00ED5215"/>
    <w:rsid w:val="00ED552C"/>
    <w:rsid w:val="00EE1710"/>
    <w:rsid w:val="00EE7202"/>
    <w:rsid w:val="00EF18FF"/>
    <w:rsid w:val="00EF3A6B"/>
    <w:rsid w:val="00F0040A"/>
    <w:rsid w:val="00F00EDC"/>
    <w:rsid w:val="00F018E1"/>
    <w:rsid w:val="00F0362B"/>
    <w:rsid w:val="00F062D8"/>
    <w:rsid w:val="00F06B7B"/>
    <w:rsid w:val="00F06F96"/>
    <w:rsid w:val="00F15174"/>
    <w:rsid w:val="00F16D0A"/>
    <w:rsid w:val="00F16D4C"/>
    <w:rsid w:val="00F2615C"/>
    <w:rsid w:val="00F362ED"/>
    <w:rsid w:val="00F36639"/>
    <w:rsid w:val="00F404A0"/>
    <w:rsid w:val="00F41B2F"/>
    <w:rsid w:val="00F42243"/>
    <w:rsid w:val="00F43BC9"/>
    <w:rsid w:val="00F51B54"/>
    <w:rsid w:val="00F554D5"/>
    <w:rsid w:val="00F556BF"/>
    <w:rsid w:val="00F566B2"/>
    <w:rsid w:val="00F56950"/>
    <w:rsid w:val="00F66B4D"/>
    <w:rsid w:val="00F66E2C"/>
    <w:rsid w:val="00F67A7F"/>
    <w:rsid w:val="00F67A88"/>
    <w:rsid w:val="00F70FED"/>
    <w:rsid w:val="00F722A0"/>
    <w:rsid w:val="00F727AA"/>
    <w:rsid w:val="00F73581"/>
    <w:rsid w:val="00F749CE"/>
    <w:rsid w:val="00F75BC0"/>
    <w:rsid w:val="00F769CC"/>
    <w:rsid w:val="00F81211"/>
    <w:rsid w:val="00F85BBC"/>
    <w:rsid w:val="00F85F99"/>
    <w:rsid w:val="00F87621"/>
    <w:rsid w:val="00F90121"/>
    <w:rsid w:val="00F91513"/>
    <w:rsid w:val="00F9174E"/>
    <w:rsid w:val="00F94124"/>
    <w:rsid w:val="00F952E8"/>
    <w:rsid w:val="00F97C9F"/>
    <w:rsid w:val="00F97E8C"/>
    <w:rsid w:val="00FA7D08"/>
    <w:rsid w:val="00FB1576"/>
    <w:rsid w:val="00FB5EBA"/>
    <w:rsid w:val="00FB70BF"/>
    <w:rsid w:val="00FB7FA8"/>
    <w:rsid w:val="00FC1442"/>
    <w:rsid w:val="00FC1EF4"/>
    <w:rsid w:val="00FC384A"/>
    <w:rsid w:val="00FC6A61"/>
    <w:rsid w:val="00FC7307"/>
    <w:rsid w:val="00FD14F8"/>
    <w:rsid w:val="00FD2B02"/>
    <w:rsid w:val="00FD4444"/>
    <w:rsid w:val="00FD5F5A"/>
    <w:rsid w:val="00FE0182"/>
    <w:rsid w:val="00FE094F"/>
    <w:rsid w:val="00FE511F"/>
    <w:rsid w:val="00FE76E8"/>
    <w:rsid w:val="00FE7A71"/>
    <w:rsid w:val="00FF0E7C"/>
    <w:rsid w:val="00FF1AB6"/>
    <w:rsid w:val="00FF1C67"/>
    <w:rsid w:val="00FF490C"/>
    <w:rsid w:val="00FF4C7C"/>
    <w:rsid w:val="00FF5582"/>
    <w:rsid w:val="00FF787E"/>
    <w:rsid w:val="0136557F"/>
    <w:rsid w:val="025B2E1E"/>
    <w:rsid w:val="043E7A6C"/>
    <w:rsid w:val="07254589"/>
    <w:rsid w:val="09FB30A3"/>
    <w:rsid w:val="0B273EF2"/>
    <w:rsid w:val="0B5907D8"/>
    <w:rsid w:val="0B6F5BDF"/>
    <w:rsid w:val="0F5C4866"/>
    <w:rsid w:val="10FF5B17"/>
    <w:rsid w:val="111A6B4A"/>
    <w:rsid w:val="11DD3A78"/>
    <w:rsid w:val="12B476A3"/>
    <w:rsid w:val="161DEC69"/>
    <w:rsid w:val="17FB56EE"/>
    <w:rsid w:val="19063FCB"/>
    <w:rsid w:val="19F71819"/>
    <w:rsid w:val="1B285525"/>
    <w:rsid w:val="1BD23C9F"/>
    <w:rsid w:val="1C234B35"/>
    <w:rsid w:val="1CE07BD5"/>
    <w:rsid w:val="1E8078A2"/>
    <w:rsid w:val="1EBC12E9"/>
    <w:rsid w:val="1F7B130D"/>
    <w:rsid w:val="21821A3C"/>
    <w:rsid w:val="28794A7C"/>
    <w:rsid w:val="297D349C"/>
    <w:rsid w:val="2A41578A"/>
    <w:rsid w:val="2B54647E"/>
    <w:rsid w:val="2C6812A9"/>
    <w:rsid w:val="2CA42FB3"/>
    <w:rsid w:val="2CF7580F"/>
    <w:rsid w:val="2F557D12"/>
    <w:rsid w:val="2FB7FE7D"/>
    <w:rsid w:val="2FF6EA67"/>
    <w:rsid w:val="34B61F3C"/>
    <w:rsid w:val="360016DD"/>
    <w:rsid w:val="389D2364"/>
    <w:rsid w:val="39D3645F"/>
    <w:rsid w:val="39FF1460"/>
    <w:rsid w:val="3ABB2076"/>
    <w:rsid w:val="3AFF6D4B"/>
    <w:rsid w:val="3C6356CE"/>
    <w:rsid w:val="3D2C28F4"/>
    <w:rsid w:val="3E3F534A"/>
    <w:rsid w:val="3E7B6F01"/>
    <w:rsid w:val="3F42014F"/>
    <w:rsid w:val="3F4A48B2"/>
    <w:rsid w:val="3FBD1889"/>
    <w:rsid w:val="3FBDC1ED"/>
    <w:rsid w:val="3FFB084C"/>
    <w:rsid w:val="42AB474C"/>
    <w:rsid w:val="44781ACB"/>
    <w:rsid w:val="45440EBA"/>
    <w:rsid w:val="457650FC"/>
    <w:rsid w:val="4614644F"/>
    <w:rsid w:val="4ADB5E1D"/>
    <w:rsid w:val="4BA7714A"/>
    <w:rsid w:val="4C996A22"/>
    <w:rsid w:val="4E3F5EF8"/>
    <w:rsid w:val="4FDF5519"/>
    <w:rsid w:val="4FE2D6B7"/>
    <w:rsid w:val="500505F0"/>
    <w:rsid w:val="51FA302C"/>
    <w:rsid w:val="51FED7AB"/>
    <w:rsid w:val="541629CF"/>
    <w:rsid w:val="55DBA451"/>
    <w:rsid w:val="57658F8E"/>
    <w:rsid w:val="58147184"/>
    <w:rsid w:val="58C05A7E"/>
    <w:rsid w:val="5A4530B1"/>
    <w:rsid w:val="5A7616BE"/>
    <w:rsid w:val="5AF7014A"/>
    <w:rsid w:val="5B7604E4"/>
    <w:rsid w:val="5BF97AD1"/>
    <w:rsid w:val="5C6E14E5"/>
    <w:rsid w:val="5E7F7A85"/>
    <w:rsid w:val="5EFA7CCD"/>
    <w:rsid w:val="5F107D94"/>
    <w:rsid w:val="657B1250"/>
    <w:rsid w:val="666C7BF6"/>
    <w:rsid w:val="67FF7B3F"/>
    <w:rsid w:val="6A1674EA"/>
    <w:rsid w:val="6D3F4C31"/>
    <w:rsid w:val="6DFB0B8B"/>
    <w:rsid w:val="6E4152AB"/>
    <w:rsid w:val="6EFF6835"/>
    <w:rsid w:val="6F3F06EA"/>
    <w:rsid w:val="6FD47EC8"/>
    <w:rsid w:val="6FF98217"/>
    <w:rsid w:val="721E46BD"/>
    <w:rsid w:val="746B5544"/>
    <w:rsid w:val="75AD0232"/>
    <w:rsid w:val="761D27E8"/>
    <w:rsid w:val="77613082"/>
    <w:rsid w:val="789A4688"/>
    <w:rsid w:val="79F514EB"/>
    <w:rsid w:val="7BE3E46C"/>
    <w:rsid w:val="7BFDA37E"/>
    <w:rsid w:val="7C5C26D4"/>
    <w:rsid w:val="7D1781F4"/>
    <w:rsid w:val="7D472F0C"/>
    <w:rsid w:val="7D690EE2"/>
    <w:rsid w:val="7D7C512F"/>
    <w:rsid w:val="7D821FA4"/>
    <w:rsid w:val="7DFF0011"/>
    <w:rsid w:val="7E5F6A19"/>
    <w:rsid w:val="7E9C082C"/>
    <w:rsid w:val="7EBE2554"/>
    <w:rsid w:val="7EEE49B1"/>
    <w:rsid w:val="7EF7654C"/>
    <w:rsid w:val="7EF7C727"/>
    <w:rsid w:val="7EFF5AD9"/>
    <w:rsid w:val="7F47D169"/>
    <w:rsid w:val="7F6C4CBA"/>
    <w:rsid w:val="7F6EA78A"/>
    <w:rsid w:val="7F73A17F"/>
    <w:rsid w:val="7F7B630B"/>
    <w:rsid w:val="7F7D58EC"/>
    <w:rsid w:val="7FB978B7"/>
    <w:rsid w:val="7FBFAB28"/>
    <w:rsid w:val="7FFE9B6E"/>
    <w:rsid w:val="7FFF35B4"/>
    <w:rsid w:val="7FFF4BE7"/>
    <w:rsid w:val="9D4B5CFF"/>
    <w:rsid w:val="9EADEA64"/>
    <w:rsid w:val="9EE15587"/>
    <w:rsid w:val="B7FFFF50"/>
    <w:rsid w:val="BA7B23C6"/>
    <w:rsid w:val="BC379A38"/>
    <w:rsid w:val="BC7DA676"/>
    <w:rsid w:val="BF5E7F09"/>
    <w:rsid w:val="BFBFC15C"/>
    <w:rsid w:val="BFDDA75B"/>
    <w:rsid w:val="CF9B817E"/>
    <w:rsid w:val="D7DBF11F"/>
    <w:rsid w:val="DEFF064E"/>
    <w:rsid w:val="DF7DDC33"/>
    <w:rsid w:val="DFBFA6BC"/>
    <w:rsid w:val="DFDD4766"/>
    <w:rsid w:val="DFF7BA44"/>
    <w:rsid w:val="E3ED7BAC"/>
    <w:rsid w:val="EAFB5AE9"/>
    <w:rsid w:val="EBAF7A7C"/>
    <w:rsid w:val="EF9E4706"/>
    <w:rsid w:val="F3FE23D7"/>
    <w:rsid w:val="F67A0B71"/>
    <w:rsid w:val="F77A08DA"/>
    <w:rsid w:val="F79F0491"/>
    <w:rsid w:val="F7FD3FC6"/>
    <w:rsid w:val="FBCDC670"/>
    <w:rsid w:val="FCE3A18A"/>
    <w:rsid w:val="FCF73EFA"/>
    <w:rsid w:val="FD7DE2AD"/>
    <w:rsid w:val="FDF3B116"/>
    <w:rsid w:val="FDFFF3D7"/>
    <w:rsid w:val="FE734873"/>
    <w:rsid w:val="FE979539"/>
    <w:rsid w:val="FECFE38F"/>
    <w:rsid w:val="FEDF1123"/>
    <w:rsid w:val="FEEB8D3D"/>
    <w:rsid w:val="FEED4796"/>
    <w:rsid w:val="FFF704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4">
    <w:name w:val="heading 1"/>
    <w:basedOn w:val="1"/>
    <w:next w:val="1"/>
    <w:link w:val="37"/>
    <w:qFormat/>
    <w:uiPriority w:val="9"/>
    <w:pPr>
      <w:keepNext/>
      <w:keepLines/>
      <w:spacing w:before="200" w:after="200"/>
      <w:ind w:left="420" w:hanging="420"/>
      <w:jc w:val="left"/>
      <w:outlineLvl w:val="0"/>
    </w:pPr>
    <w:rPr>
      <w:rFonts w:ascii="仿宋" w:hAnsi="仿宋" w:eastAsia="华文仿宋"/>
      <w:b/>
      <w:bCs/>
      <w:kern w:val="44"/>
      <w:sz w:val="32"/>
      <w:szCs w:val="44"/>
    </w:rPr>
  </w:style>
  <w:style w:type="paragraph" w:styleId="5">
    <w:name w:val="heading 2"/>
    <w:basedOn w:val="1"/>
    <w:next w:val="1"/>
    <w:link w:val="38"/>
    <w:qFormat/>
    <w:uiPriority w:val="9"/>
    <w:pPr>
      <w:spacing w:before="100" w:beforeLines="100" w:after="100" w:afterLines="100"/>
      <w:ind w:firstLine="71" w:firstLineChars="71"/>
      <w:outlineLvl w:val="1"/>
    </w:pPr>
    <w:rPr>
      <w:rFonts w:ascii="Times New Roman" w:hAnsi="Times New Roman" w:eastAsia="仿宋"/>
      <w:b/>
      <w:sz w:val="28"/>
    </w:rPr>
  </w:style>
  <w:style w:type="paragraph" w:styleId="6">
    <w:name w:val="heading 3"/>
    <w:basedOn w:val="1"/>
    <w:next w:val="1"/>
    <w:link w:val="39"/>
    <w:qFormat/>
    <w:uiPriority w:val="1"/>
    <w:pPr>
      <w:keepNext/>
      <w:keepLines/>
      <w:spacing w:before="100" w:after="100"/>
      <w:outlineLvl w:val="2"/>
    </w:pPr>
    <w:rPr>
      <w:rFonts w:ascii="华文仿宋" w:hAnsi="华文仿宋" w:eastAsia="华文仿宋"/>
      <w:b/>
      <w:bCs/>
      <w:sz w:val="22"/>
      <w:szCs w:val="32"/>
    </w:rPr>
  </w:style>
  <w:style w:type="paragraph" w:styleId="7">
    <w:name w:val="heading 4"/>
    <w:basedOn w:val="1"/>
    <w:next w:val="1"/>
    <w:link w:val="40"/>
    <w:qFormat/>
    <w:uiPriority w:val="1"/>
    <w:pPr>
      <w:autoSpaceDE w:val="0"/>
      <w:autoSpaceDN w:val="0"/>
      <w:ind w:left="686" w:hanging="567"/>
      <w:jc w:val="left"/>
      <w:outlineLvl w:val="3"/>
    </w:pPr>
    <w:rPr>
      <w:rFonts w:ascii="仿宋" w:hAnsi="仿宋" w:eastAsia="仿宋" w:cs="仿宋"/>
      <w:b/>
      <w:bCs/>
      <w:kern w:val="0"/>
      <w:sz w:val="28"/>
      <w:szCs w:val="28"/>
      <w:lang w:val="zh-CN" w:bidi="zh-CN"/>
    </w:rPr>
  </w:style>
  <w:style w:type="paragraph" w:styleId="8">
    <w:name w:val="heading 5"/>
    <w:basedOn w:val="1"/>
    <w:next w:val="1"/>
    <w:link w:val="41"/>
    <w:qFormat/>
    <w:uiPriority w:val="1"/>
    <w:pPr>
      <w:keepNext/>
      <w:keepLines/>
      <w:spacing w:before="280" w:after="290" w:line="376" w:lineRule="auto"/>
      <w:outlineLvl w:val="4"/>
    </w:pPr>
    <w:rPr>
      <w:b/>
      <w:bCs/>
      <w:sz w:val="28"/>
      <w:szCs w:val="28"/>
    </w:rPr>
  </w:style>
  <w:style w:type="paragraph" w:styleId="9">
    <w:name w:val="heading 6"/>
    <w:basedOn w:val="1"/>
    <w:next w:val="1"/>
    <w:link w:val="42"/>
    <w:qFormat/>
    <w:uiPriority w:val="1"/>
    <w:pPr>
      <w:keepNext/>
      <w:keepLines/>
      <w:spacing w:before="240" w:after="64" w:line="320" w:lineRule="auto"/>
      <w:outlineLvl w:val="5"/>
    </w:pPr>
    <w:rPr>
      <w:rFonts w:ascii="等线 Light" w:hAnsi="等线 Light" w:eastAsia="等线 Light"/>
      <w:b/>
      <w:bCs/>
      <w:sz w:val="24"/>
      <w:szCs w:val="24"/>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36"/>
    <w:qFormat/>
    <w:uiPriority w:val="0"/>
    <w:pPr>
      <w:spacing w:after="0"/>
      <w:ind w:firstLine="420" w:firstLineChars="200"/>
    </w:pPr>
    <w:rPr>
      <w:rFonts w:ascii="Calibri" w:hAnsi="Calibri" w:eastAsia="宋体"/>
      <w:szCs w:val="24"/>
    </w:rPr>
  </w:style>
  <w:style w:type="paragraph" w:styleId="3">
    <w:name w:val="Body Text Indent"/>
    <w:basedOn w:val="1"/>
    <w:link w:val="35"/>
    <w:unhideWhenUsed/>
    <w:qFormat/>
    <w:uiPriority w:val="99"/>
    <w:pPr>
      <w:spacing w:after="120"/>
      <w:ind w:left="420" w:leftChars="200"/>
    </w:pPr>
  </w:style>
  <w:style w:type="paragraph" w:styleId="10">
    <w:name w:val="toc 7"/>
    <w:basedOn w:val="1"/>
    <w:next w:val="1"/>
    <w:unhideWhenUsed/>
    <w:qFormat/>
    <w:uiPriority w:val="39"/>
    <w:pPr>
      <w:ind w:left="1260"/>
      <w:jc w:val="left"/>
    </w:pPr>
    <w:rPr>
      <w:sz w:val="20"/>
      <w:szCs w:val="20"/>
    </w:rPr>
  </w:style>
  <w:style w:type="paragraph" w:styleId="11">
    <w:name w:val="annotation text"/>
    <w:basedOn w:val="1"/>
    <w:link w:val="43"/>
    <w:qFormat/>
    <w:uiPriority w:val="0"/>
    <w:pPr>
      <w:jc w:val="left"/>
    </w:pPr>
    <w:rPr>
      <w:rFonts w:ascii="Calibri" w:hAnsi="Calibri" w:eastAsia="宋体"/>
      <w:szCs w:val="24"/>
    </w:rPr>
  </w:style>
  <w:style w:type="paragraph" w:styleId="12">
    <w:name w:val="Body Text"/>
    <w:basedOn w:val="1"/>
    <w:link w:val="44"/>
    <w:qFormat/>
    <w:uiPriority w:val="1"/>
    <w:pPr>
      <w:autoSpaceDE w:val="0"/>
      <w:autoSpaceDN w:val="0"/>
      <w:spacing w:before="117"/>
      <w:ind w:left="1300"/>
      <w:jc w:val="left"/>
    </w:pPr>
    <w:rPr>
      <w:rFonts w:ascii="微软雅黑" w:hAnsi="微软雅黑" w:eastAsia="微软雅黑" w:cs="微软雅黑"/>
      <w:kern w:val="0"/>
      <w:sz w:val="24"/>
      <w:szCs w:val="24"/>
      <w:lang w:val="zh-CN" w:bidi="zh-CN"/>
    </w:rPr>
  </w:style>
  <w:style w:type="paragraph" w:styleId="13">
    <w:name w:val="toc 5"/>
    <w:basedOn w:val="1"/>
    <w:next w:val="1"/>
    <w:unhideWhenUsed/>
    <w:qFormat/>
    <w:uiPriority w:val="39"/>
    <w:pPr>
      <w:ind w:left="840"/>
      <w:jc w:val="left"/>
    </w:pPr>
    <w:rPr>
      <w:sz w:val="20"/>
      <w:szCs w:val="20"/>
    </w:rPr>
  </w:style>
  <w:style w:type="paragraph" w:styleId="14">
    <w:name w:val="toc 3"/>
    <w:basedOn w:val="1"/>
    <w:next w:val="1"/>
    <w:unhideWhenUsed/>
    <w:qFormat/>
    <w:uiPriority w:val="39"/>
    <w:pPr>
      <w:ind w:left="420"/>
      <w:jc w:val="left"/>
    </w:pPr>
    <w:rPr>
      <w:sz w:val="20"/>
      <w:szCs w:val="20"/>
    </w:rPr>
  </w:style>
  <w:style w:type="paragraph" w:styleId="15">
    <w:name w:val="toc 8"/>
    <w:basedOn w:val="1"/>
    <w:next w:val="1"/>
    <w:unhideWhenUsed/>
    <w:qFormat/>
    <w:uiPriority w:val="39"/>
    <w:pPr>
      <w:ind w:left="1470"/>
      <w:jc w:val="left"/>
    </w:pPr>
    <w:rPr>
      <w:sz w:val="20"/>
      <w:szCs w:val="20"/>
    </w:rPr>
  </w:style>
  <w:style w:type="paragraph" w:styleId="16">
    <w:name w:val="Date"/>
    <w:basedOn w:val="1"/>
    <w:next w:val="1"/>
    <w:link w:val="45"/>
    <w:unhideWhenUsed/>
    <w:qFormat/>
    <w:uiPriority w:val="99"/>
    <w:pPr>
      <w:ind w:left="100" w:leftChars="2500"/>
    </w:pPr>
  </w:style>
  <w:style w:type="paragraph" w:styleId="17">
    <w:name w:val="Balloon Text"/>
    <w:basedOn w:val="1"/>
    <w:link w:val="46"/>
    <w:unhideWhenUsed/>
    <w:qFormat/>
    <w:uiPriority w:val="99"/>
    <w:rPr>
      <w:sz w:val="18"/>
      <w:szCs w:val="18"/>
    </w:rPr>
  </w:style>
  <w:style w:type="paragraph" w:styleId="18">
    <w:name w:val="footer"/>
    <w:basedOn w:val="1"/>
    <w:link w:val="47"/>
    <w:unhideWhenUsed/>
    <w:qFormat/>
    <w:uiPriority w:val="99"/>
    <w:pPr>
      <w:tabs>
        <w:tab w:val="center" w:pos="4153"/>
        <w:tab w:val="right" w:pos="8306"/>
      </w:tabs>
      <w:snapToGrid w:val="0"/>
      <w:jc w:val="left"/>
    </w:pPr>
    <w:rPr>
      <w:sz w:val="18"/>
      <w:szCs w:val="18"/>
    </w:rPr>
  </w:style>
  <w:style w:type="paragraph" w:styleId="19">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jc w:val="left"/>
    </w:pPr>
    <w:rPr>
      <w:b/>
      <w:bCs/>
      <w:i/>
      <w:iCs/>
      <w:sz w:val="24"/>
      <w:szCs w:val="24"/>
    </w:rPr>
  </w:style>
  <w:style w:type="paragraph" w:styleId="21">
    <w:name w:val="toc 4"/>
    <w:basedOn w:val="1"/>
    <w:next w:val="1"/>
    <w:unhideWhenUsed/>
    <w:qFormat/>
    <w:uiPriority w:val="39"/>
    <w:pPr>
      <w:ind w:left="630"/>
      <w:jc w:val="left"/>
    </w:pPr>
    <w:rPr>
      <w:sz w:val="20"/>
      <w:szCs w:val="20"/>
    </w:rPr>
  </w:style>
  <w:style w:type="paragraph" w:styleId="22">
    <w:name w:val="Subtitle"/>
    <w:basedOn w:val="1"/>
    <w:next w:val="1"/>
    <w:link w:val="49"/>
    <w:qFormat/>
    <w:uiPriority w:val="11"/>
    <w:pPr>
      <w:spacing w:before="240" w:after="60" w:line="312" w:lineRule="auto"/>
      <w:jc w:val="center"/>
      <w:outlineLvl w:val="1"/>
    </w:pPr>
    <w:rPr>
      <w:b/>
      <w:bCs/>
      <w:kern w:val="28"/>
      <w:sz w:val="32"/>
      <w:szCs w:val="32"/>
    </w:rPr>
  </w:style>
  <w:style w:type="paragraph" w:styleId="23">
    <w:name w:val="toc 6"/>
    <w:basedOn w:val="1"/>
    <w:next w:val="1"/>
    <w:unhideWhenUsed/>
    <w:qFormat/>
    <w:uiPriority w:val="39"/>
    <w:pPr>
      <w:ind w:left="1050"/>
      <w:jc w:val="left"/>
    </w:pPr>
    <w:rPr>
      <w:sz w:val="20"/>
      <w:szCs w:val="20"/>
    </w:rPr>
  </w:style>
  <w:style w:type="paragraph" w:styleId="24">
    <w:name w:val="toc 2"/>
    <w:basedOn w:val="1"/>
    <w:next w:val="1"/>
    <w:qFormat/>
    <w:uiPriority w:val="39"/>
    <w:pPr>
      <w:spacing w:before="120"/>
      <w:ind w:left="210"/>
      <w:jc w:val="left"/>
    </w:pPr>
    <w:rPr>
      <w:b/>
      <w:bCs/>
      <w:sz w:val="22"/>
    </w:rPr>
  </w:style>
  <w:style w:type="paragraph" w:styleId="25">
    <w:name w:val="toc 9"/>
    <w:basedOn w:val="1"/>
    <w:next w:val="1"/>
    <w:unhideWhenUsed/>
    <w:qFormat/>
    <w:uiPriority w:val="39"/>
    <w:pPr>
      <w:ind w:left="1680"/>
      <w:jc w:val="left"/>
    </w:pPr>
    <w:rPr>
      <w:sz w:val="20"/>
      <w:szCs w:val="20"/>
    </w:rPr>
  </w:style>
  <w:style w:type="paragraph" w:styleId="2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27">
    <w:name w:val="annotation subject"/>
    <w:basedOn w:val="11"/>
    <w:next w:val="11"/>
    <w:link w:val="50"/>
    <w:unhideWhenUsed/>
    <w:qFormat/>
    <w:uiPriority w:val="99"/>
    <w:rPr>
      <w:rFonts w:ascii="等线" w:hAnsi="等线" w:eastAsia="等线"/>
      <w:b/>
      <w:bCs/>
      <w:szCs w:val="22"/>
    </w:rPr>
  </w:style>
  <w:style w:type="table" w:styleId="29">
    <w:name w:val="Table Grid"/>
    <w:basedOn w:val="2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0"/>
    <w:rPr>
      <w:b/>
    </w:rPr>
  </w:style>
  <w:style w:type="character" w:styleId="32">
    <w:name w:val="FollowedHyperlink"/>
    <w:basedOn w:val="30"/>
    <w:unhideWhenUsed/>
    <w:qFormat/>
    <w:uiPriority w:val="99"/>
    <w:rPr>
      <w:color w:val="954F72"/>
      <w:u w:val="single"/>
    </w:rPr>
  </w:style>
  <w:style w:type="character" w:styleId="33">
    <w:name w:val="Hyperlink"/>
    <w:basedOn w:val="30"/>
    <w:unhideWhenUsed/>
    <w:qFormat/>
    <w:uiPriority w:val="99"/>
    <w:rPr>
      <w:color w:val="0563C1"/>
      <w:u w:val="single"/>
    </w:rPr>
  </w:style>
  <w:style w:type="character" w:styleId="34">
    <w:name w:val="annotation reference"/>
    <w:basedOn w:val="30"/>
    <w:unhideWhenUsed/>
    <w:qFormat/>
    <w:uiPriority w:val="99"/>
    <w:rPr>
      <w:sz w:val="21"/>
      <w:szCs w:val="21"/>
    </w:rPr>
  </w:style>
  <w:style w:type="character" w:customStyle="1" w:styleId="35">
    <w:name w:val="正文文本缩进 字符"/>
    <w:basedOn w:val="30"/>
    <w:link w:val="3"/>
    <w:qFormat/>
    <w:uiPriority w:val="99"/>
    <w:rPr>
      <w:rFonts w:ascii="等线" w:hAnsi="等线" w:eastAsia="等线" w:cs="Times New Roman"/>
      <w:kern w:val="2"/>
      <w:sz w:val="21"/>
      <w:szCs w:val="22"/>
    </w:rPr>
  </w:style>
  <w:style w:type="character" w:customStyle="1" w:styleId="36">
    <w:name w:val="正文首行缩进 2 字符"/>
    <w:basedOn w:val="35"/>
    <w:link w:val="2"/>
    <w:qFormat/>
    <w:uiPriority w:val="0"/>
    <w:rPr>
      <w:rFonts w:ascii="Calibri" w:hAnsi="Calibri" w:eastAsia="等线" w:cs="Times New Roman"/>
      <w:kern w:val="2"/>
      <w:sz w:val="21"/>
      <w:szCs w:val="24"/>
    </w:rPr>
  </w:style>
  <w:style w:type="character" w:customStyle="1" w:styleId="37">
    <w:name w:val="标题 1 字符"/>
    <w:basedOn w:val="30"/>
    <w:link w:val="4"/>
    <w:qFormat/>
    <w:uiPriority w:val="9"/>
    <w:rPr>
      <w:rFonts w:ascii="仿宋" w:hAnsi="仿宋" w:eastAsia="华文仿宋" w:cs="Times New Roman"/>
      <w:b/>
      <w:bCs/>
      <w:kern w:val="44"/>
      <w:sz w:val="32"/>
      <w:szCs w:val="44"/>
    </w:rPr>
  </w:style>
  <w:style w:type="character" w:customStyle="1" w:styleId="38">
    <w:name w:val="标题 2 字符"/>
    <w:basedOn w:val="30"/>
    <w:link w:val="5"/>
    <w:qFormat/>
    <w:uiPriority w:val="9"/>
    <w:rPr>
      <w:rFonts w:eastAsia="仿宋" w:cs="Times New Roman"/>
      <w:b/>
      <w:kern w:val="2"/>
      <w:sz w:val="28"/>
      <w:szCs w:val="22"/>
    </w:rPr>
  </w:style>
  <w:style w:type="character" w:customStyle="1" w:styleId="39">
    <w:name w:val="标题 3 字符"/>
    <w:basedOn w:val="30"/>
    <w:link w:val="6"/>
    <w:qFormat/>
    <w:uiPriority w:val="1"/>
    <w:rPr>
      <w:rFonts w:ascii="华文仿宋" w:hAnsi="华文仿宋" w:eastAsia="华文仿宋" w:cs="Times New Roman"/>
      <w:b/>
      <w:bCs/>
      <w:kern w:val="2"/>
      <w:sz w:val="22"/>
      <w:szCs w:val="32"/>
    </w:rPr>
  </w:style>
  <w:style w:type="character" w:customStyle="1" w:styleId="40">
    <w:name w:val="标题 4 字符"/>
    <w:basedOn w:val="30"/>
    <w:link w:val="7"/>
    <w:qFormat/>
    <w:uiPriority w:val="1"/>
    <w:rPr>
      <w:rFonts w:ascii="仿宋" w:hAnsi="仿宋" w:eastAsia="仿宋" w:cs="仿宋"/>
      <w:b/>
      <w:bCs/>
      <w:sz w:val="28"/>
      <w:szCs w:val="28"/>
      <w:lang w:val="zh-CN" w:bidi="zh-CN"/>
    </w:rPr>
  </w:style>
  <w:style w:type="character" w:customStyle="1" w:styleId="41">
    <w:name w:val="标题 5 字符"/>
    <w:basedOn w:val="30"/>
    <w:link w:val="8"/>
    <w:qFormat/>
    <w:uiPriority w:val="1"/>
    <w:rPr>
      <w:rFonts w:ascii="等线" w:hAnsi="等线" w:eastAsia="等线" w:cs="Times New Roman"/>
      <w:b/>
      <w:bCs/>
      <w:kern w:val="2"/>
      <w:sz w:val="28"/>
      <w:szCs w:val="28"/>
    </w:rPr>
  </w:style>
  <w:style w:type="character" w:customStyle="1" w:styleId="42">
    <w:name w:val="标题 6 字符"/>
    <w:basedOn w:val="30"/>
    <w:link w:val="9"/>
    <w:qFormat/>
    <w:uiPriority w:val="1"/>
    <w:rPr>
      <w:rFonts w:ascii="等线 Light" w:hAnsi="等线 Light" w:eastAsia="等线 Light" w:cs="Times New Roman"/>
      <w:b/>
      <w:bCs/>
      <w:kern w:val="2"/>
      <w:sz w:val="24"/>
      <w:szCs w:val="24"/>
    </w:rPr>
  </w:style>
  <w:style w:type="character" w:customStyle="1" w:styleId="43">
    <w:name w:val="批注文字 字符"/>
    <w:basedOn w:val="30"/>
    <w:link w:val="11"/>
    <w:qFormat/>
    <w:uiPriority w:val="0"/>
    <w:rPr>
      <w:rFonts w:ascii="Calibri" w:hAnsi="Calibri"/>
      <w:kern w:val="2"/>
      <w:sz w:val="21"/>
      <w:szCs w:val="24"/>
    </w:rPr>
  </w:style>
  <w:style w:type="character" w:customStyle="1" w:styleId="44">
    <w:name w:val="正文文本 字符"/>
    <w:basedOn w:val="30"/>
    <w:link w:val="12"/>
    <w:qFormat/>
    <w:uiPriority w:val="1"/>
    <w:rPr>
      <w:rFonts w:ascii="微软雅黑" w:hAnsi="微软雅黑" w:eastAsia="微软雅黑" w:cs="微软雅黑"/>
      <w:sz w:val="24"/>
      <w:szCs w:val="24"/>
      <w:lang w:val="zh-CN" w:bidi="zh-CN"/>
    </w:rPr>
  </w:style>
  <w:style w:type="character" w:customStyle="1" w:styleId="45">
    <w:name w:val="日期 字符"/>
    <w:basedOn w:val="30"/>
    <w:link w:val="16"/>
    <w:semiHidden/>
    <w:qFormat/>
    <w:uiPriority w:val="99"/>
    <w:rPr>
      <w:rFonts w:ascii="等线" w:hAnsi="等线" w:eastAsia="等线" w:cs="Times New Roman"/>
      <w:kern w:val="2"/>
      <w:sz w:val="21"/>
      <w:szCs w:val="22"/>
    </w:rPr>
  </w:style>
  <w:style w:type="character" w:customStyle="1" w:styleId="46">
    <w:name w:val="批注框文本 字符"/>
    <w:basedOn w:val="30"/>
    <w:link w:val="17"/>
    <w:semiHidden/>
    <w:qFormat/>
    <w:uiPriority w:val="99"/>
    <w:rPr>
      <w:sz w:val="18"/>
      <w:szCs w:val="18"/>
    </w:rPr>
  </w:style>
  <w:style w:type="character" w:customStyle="1" w:styleId="47">
    <w:name w:val="页脚 字符"/>
    <w:basedOn w:val="30"/>
    <w:link w:val="18"/>
    <w:qFormat/>
    <w:uiPriority w:val="99"/>
    <w:rPr>
      <w:sz w:val="18"/>
      <w:szCs w:val="18"/>
    </w:rPr>
  </w:style>
  <w:style w:type="character" w:customStyle="1" w:styleId="48">
    <w:name w:val="页眉 字符"/>
    <w:basedOn w:val="30"/>
    <w:link w:val="19"/>
    <w:qFormat/>
    <w:uiPriority w:val="99"/>
    <w:rPr>
      <w:sz w:val="18"/>
      <w:szCs w:val="18"/>
    </w:rPr>
  </w:style>
  <w:style w:type="character" w:customStyle="1" w:styleId="49">
    <w:name w:val="副标题 字符"/>
    <w:basedOn w:val="30"/>
    <w:link w:val="22"/>
    <w:qFormat/>
    <w:uiPriority w:val="11"/>
    <w:rPr>
      <w:rFonts w:ascii="等线" w:hAnsi="等线" w:eastAsia="等线" w:cs="Times New Roman"/>
      <w:b/>
      <w:bCs/>
      <w:kern w:val="28"/>
      <w:sz w:val="32"/>
      <w:szCs w:val="32"/>
    </w:rPr>
  </w:style>
  <w:style w:type="character" w:customStyle="1" w:styleId="50">
    <w:name w:val="批注主题 字符"/>
    <w:basedOn w:val="43"/>
    <w:link w:val="27"/>
    <w:semiHidden/>
    <w:qFormat/>
    <w:uiPriority w:val="99"/>
    <w:rPr>
      <w:rFonts w:ascii="等线" w:hAnsi="等线" w:eastAsia="等线" w:cs="Times New Roman"/>
      <w:b/>
      <w:bCs/>
      <w:kern w:val="2"/>
      <w:sz w:val="21"/>
      <w:szCs w:val="22"/>
    </w:rPr>
  </w:style>
  <w:style w:type="paragraph" w:styleId="51">
    <w:name w:val="List Paragraph"/>
    <w:basedOn w:val="1"/>
    <w:qFormat/>
    <w:uiPriority w:val="1"/>
    <w:pPr>
      <w:ind w:firstLine="420" w:firstLineChars="200"/>
    </w:pPr>
  </w:style>
  <w:style w:type="paragraph" w:customStyle="1" w:styleId="52">
    <w:name w:val="修订1"/>
    <w:semiHidden/>
    <w:qFormat/>
    <w:uiPriority w:val="99"/>
    <w:rPr>
      <w:rFonts w:ascii="等线" w:hAnsi="等线" w:eastAsia="等线" w:cs="Times New Roman"/>
      <w:kern w:val="2"/>
      <w:sz w:val="21"/>
      <w:szCs w:val="22"/>
      <w:lang w:val="en-US" w:eastAsia="zh-CN" w:bidi="ar-SA"/>
    </w:rPr>
  </w:style>
  <w:style w:type="paragraph" w:customStyle="1" w:styleId="53">
    <w:name w:val="修订2"/>
    <w:semiHidden/>
    <w:qFormat/>
    <w:uiPriority w:val="99"/>
    <w:rPr>
      <w:rFonts w:ascii="等线" w:hAnsi="等线" w:eastAsia="等线" w:cs="Times New Roman"/>
      <w:kern w:val="2"/>
      <w:sz w:val="21"/>
      <w:szCs w:val="22"/>
      <w:lang w:val="en-US" w:eastAsia="zh-CN" w:bidi="ar-SA"/>
    </w:rPr>
  </w:style>
  <w:style w:type="paragraph" w:customStyle="1" w:styleId="54">
    <w:name w:val="Table Paragraph"/>
    <w:basedOn w:val="1"/>
    <w:qFormat/>
    <w:uiPriority w:val="1"/>
    <w:pPr>
      <w:autoSpaceDE w:val="0"/>
      <w:autoSpaceDN w:val="0"/>
      <w:jc w:val="left"/>
    </w:pPr>
    <w:rPr>
      <w:rFonts w:ascii="仿宋" w:hAnsi="仿宋" w:eastAsia="仿宋" w:cs="仿宋"/>
      <w:kern w:val="0"/>
      <w:sz w:val="22"/>
      <w:lang w:val="zh-CN" w:bidi="zh-CN"/>
    </w:rPr>
  </w:style>
  <w:style w:type="paragraph" w:customStyle="1" w:styleId="55">
    <w:name w:val="_Style 24"/>
    <w:basedOn w:val="3"/>
    <w:next w:val="2"/>
    <w:unhideWhenUsed/>
    <w:qFormat/>
    <w:uiPriority w:val="99"/>
    <w:pPr>
      <w:spacing w:after="0"/>
      <w:ind w:firstLine="420" w:firstLineChars="200"/>
    </w:pPr>
    <w:rPr>
      <w:rFonts w:ascii="Calibri" w:hAnsi="Calibri" w:eastAsia="宋体"/>
      <w:szCs w:val="24"/>
    </w:rPr>
  </w:style>
  <w:style w:type="paragraph" w:customStyle="1" w:styleId="56">
    <w:name w:val="正文文本缩进 21"/>
    <w:basedOn w:val="1"/>
    <w:qFormat/>
    <w:uiPriority w:val="0"/>
    <w:pPr>
      <w:spacing w:after="120" w:line="480" w:lineRule="auto"/>
      <w:ind w:left="420" w:leftChars="200"/>
    </w:pPr>
    <w:rPr>
      <w:rFonts w:ascii="Calibri" w:hAnsi="Calibri" w:eastAsia="宋体"/>
      <w:szCs w:val="24"/>
    </w:rPr>
  </w:style>
  <w:style w:type="table" w:customStyle="1" w:styleId="57">
    <w:name w:val="Table Normal"/>
    <w:unhideWhenUsed/>
    <w:qFormat/>
    <w:uiPriority w:val="0"/>
    <w:tblPr>
      <w:tblCellMar>
        <w:top w:w="0" w:type="dxa"/>
        <w:left w:w="0" w:type="dxa"/>
        <w:bottom w:w="0" w:type="dxa"/>
        <w:right w:w="0" w:type="dxa"/>
      </w:tblCellMar>
    </w:tblPr>
  </w:style>
  <w:style w:type="paragraph" w:customStyle="1" w:styleId="58">
    <w:name w:val="TOC 标题1"/>
    <w:basedOn w:val="4"/>
    <w:next w:val="1"/>
    <w:unhideWhenUsed/>
    <w:qFormat/>
    <w:uiPriority w:val="39"/>
    <w:pPr>
      <w:widowControl/>
      <w:spacing w:before="480" w:after="0" w:line="276" w:lineRule="auto"/>
      <w:outlineLvl w:val="9"/>
    </w:pPr>
    <w:rPr>
      <w:rFonts w:ascii="等线 Light" w:hAnsi="等线 Light" w:eastAsia="等线 Light"/>
      <w:color w:val="2F5496"/>
      <w:kern w:val="0"/>
      <w:sz w:val="28"/>
      <w:szCs w:val="28"/>
    </w:rPr>
  </w:style>
  <w:style w:type="paragraph" w:customStyle="1" w:styleId="59">
    <w:name w:val="修订3"/>
    <w:qFormat/>
    <w:uiPriority w:val="99"/>
    <w:rPr>
      <w:rFonts w:ascii="等线" w:hAnsi="等线" w:eastAsia="等线" w:cs="Times New Roman"/>
      <w:kern w:val="2"/>
      <w:sz w:val="21"/>
      <w:szCs w:val="22"/>
      <w:lang w:val="en-US" w:eastAsia="zh-CN" w:bidi="ar-SA"/>
    </w:rPr>
  </w:style>
  <w:style w:type="paragraph" w:customStyle="1" w:styleId="60">
    <w:name w:val="Table Title"/>
    <w:basedOn w:val="1"/>
    <w:qFormat/>
    <w:uiPriority w:val="0"/>
    <w:pPr>
      <w:spacing w:line="360" w:lineRule="auto"/>
      <w:jc w:val="center"/>
    </w:pPr>
    <w:rPr>
      <w:rFonts w:ascii="仿宋" w:hAnsi="仿宋" w:eastAsia="仿宋"/>
      <w:b/>
      <w:sz w:val="24"/>
    </w:rPr>
  </w:style>
  <w:style w:type="paragraph" w:customStyle="1" w:styleId="61">
    <w:name w:val="表格标题"/>
    <w:basedOn w:val="1"/>
    <w:link w:val="62"/>
    <w:qFormat/>
    <w:uiPriority w:val="0"/>
    <w:pPr>
      <w:numPr>
        <w:ilvl w:val="0"/>
        <w:numId w:val="1"/>
      </w:numPr>
      <w:spacing w:before="156" w:beforeLines="50" w:after="156" w:afterLines="50"/>
      <w:jc w:val="center"/>
    </w:pPr>
    <w:rPr>
      <w:rFonts w:ascii="华文仿宋" w:hAnsi="华文仿宋" w:eastAsia="华文仿宋"/>
      <w:sz w:val="20"/>
    </w:rPr>
  </w:style>
  <w:style w:type="character" w:customStyle="1" w:styleId="62">
    <w:name w:val="表格标题 字符"/>
    <w:basedOn w:val="30"/>
    <w:link w:val="61"/>
    <w:qFormat/>
    <w:uiPriority w:val="0"/>
    <w:rPr>
      <w:rFonts w:ascii="华文仿宋" w:hAnsi="华文仿宋" w:eastAsia="华文仿宋" w:cs="Times New Roman"/>
      <w:kern w:val="2"/>
      <w:szCs w:val="22"/>
    </w:rPr>
  </w:style>
  <w:style w:type="character" w:customStyle="1" w:styleId="63">
    <w:name w:val="不明显强调1"/>
    <w:basedOn w:val="30"/>
    <w:qFormat/>
    <w:uiPriority w:val="19"/>
    <w:rPr>
      <w:iCs/>
      <w:color w:val="3F3F3F"/>
      <w:sz w:val="16"/>
      <w:szCs w:val="16"/>
    </w:rPr>
  </w:style>
  <w:style w:type="paragraph" w:customStyle="1" w:styleId="64">
    <w:name w:val="表格文字"/>
    <w:basedOn w:val="51"/>
    <w:link w:val="65"/>
    <w:qFormat/>
    <w:uiPriority w:val="0"/>
    <w:pPr>
      <w:widowControl/>
      <w:ind w:firstLine="0" w:firstLineChars="0"/>
      <w:jc w:val="left"/>
    </w:pPr>
    <w:rPr>
      <w:rFonts w:ascii="华文仿宋" w:hAnsi="华文仿宋" w:eastAsia="华文仿宋" w:cs="宋体"/>
      <w:color w:val="000000"/>
      <w:kern w:val="0"/>
      <w:sz w:val="16"/>
      <w:szCs w:val="28"/>
    </w:rPr>
  </w:style>
  <w:style w:type="character" w:customStyle="1" w:styleId="65">
    <w:name w:val="表格文字 字符"/>
    <w:basedOn w:val="30"/>
    <w:link w:val="64"/>
    <w:qFormat/>
    <w:uiPriority w:val="0"/>
    <w:rPr>
      <w:rFonts w:ascii="华文仿宋" w:hAnsi="华文仿宋" w:eastAsia="华文仿宋" w:cs="宋体"/>
      <w:color w:val="000000"/>
      <w:sz w:val="16"/>
      <w:szCs w:val="28"/>
    </w:rPr>
  </w:style>
  <w:style w:type="character" w:customStyle="1" w:styleId="66">
    <w:name w:val="不明显强调11"/>
    <w:basedOn w:val="30"/>
    <w:qFormat/>
    <w:uiPriority w:val="19"/>
    <w:rPr>
      <w:iCs/>
      <w:color w:val="000000"/>
      <w:sz w:val="16"/>
      <w:szCs w:val="16"/>
    </w:rPr>
  </w:style>
  <w:style w:type="paragraph" w:customStyle="1" w:styleId="67">
    <w:name w:val="图片名称"/>
    <w:basedOn w:val="1"/>
    <w:link w:val="68"/>
    <w:qFormat/>
    <w:uiPriority w:val="0"/>
    <w:pPr>
      <w:numPr>
        <w:ilvl w:val="0"/>
        <w:numId w:val="2"/>
      </w:numPr>
      <w:jc w:val="center"/>
    </w:pPr>
    <w:rPr>
      <w:rFonts w:ascii="华文仿宋" w:hAnsi="华文仿宋" w:eastAsia="华文仿宋"/>
      <w:sz w:val="20"/>
    </w:rPr>
  </w:style>
  <w:style w:type="character" w:customStyle="1" w:styleId="68">
    <w:name w:val="图片名称 字符"/>
    <w:basedOn w:val="30"/>
    <w:link w:val="67"/>
    <w:qFormat/>
    <w:uiPriority w:val="0"/>
    <w:rPr>
      <w:rFonts w:ascii="华文仿宋" w:hAnsi="华文仿宋" w:eastAsia="华文仿宋" w:cs="Times New Roman"/>
      <w:kern w:val="2"/>
      <w:szCs w:val="22"/>
    </w:rPr>
  </w:style>
  <w:style w:type="table" w:customStyle="1" w:styleId="69">
    <w:name w:val="网格型1"/>
    <w:basedOn w:val="28"/>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0">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1">
    <w:name w:val="font5"/>
    <w:basedOn w:val="1"/>
    <w:qFormat/>
    <w:uiPriority w:val="0"/>
    <w:pPr>
      <w:widowControl/>
      <w:spacing w:before="100" w:beforeAutospacing="1" w:after="100" w:afterAutospacing="1"/>
      <w:jc w:val="left"/>
    </w:pPr>
    <w:rPr>
      <w:rFonts w:cs="宋体"/>
      <w:kern w:val="0"/>
      <w:sz w:val="18"/>
      <w:szCs w:val="18"/>
    </w:rPr>
  </w:style>
  <w:style w:type="paragraph" w:customStyle="1" w:styleId="72">
    <w:name w:val="font6"/>
    <w:basedOn w:val="1"/>
    <w:qFormat/>
    <w:uiPriority w:val="0"/>
    <w:pPr>
      <w:widowControl/>
      <w:spacing w:before="100" w:beforeAutospacing="1" w:after="100" w:afterAutospacing="1"/>
      <w:jc w:val="left"/>
    </w:pPr>
    <w:rPr>
      <w:rFonts w:ascii="宋体" w:hAnsi="宋体" w:eastAsia="宋体" w:cs="宋体"/>
      <w:color w:val="000000"/>
      <w:kern w:val="0"/>
      <w:szCs w:val="21"/>
    </w:rPr>
  </w:style>
  <w:style w:type="paragraph" w:customStyle="1" w:styleId="73">
    <w:name w:val="font7"/>
    <w:basedOn w:val="1"/>
    <w:qFormat/>
    <w:uiPriority w:val="0"/>
    <w:pPr>
      <w:widowControl/>
      <w:spacing w:before="100" w:beforeAutospacing="1" w:after="100" w:afterAutospacing="1"/>
      <w:jc w:val="left"/>
    </w:pPr>
    <w:rPr>
      <w:rFonts w:ascii="MingLiU-ExtB" w:hAnsi="MingLiU-ExtB" w:eastAsia="MingLiU-ExtB" w:cs="宋体"/>
      <w:color w:val="000000"/>
      <w:kern w:val="0"/>
      <w:szCs w:val="21"/>
    </w:rPr>
  </w:style>
  <w:style w:type="paragraph" w:customStyle="1" w:styleId="74">
    <w:name w:val="font8"/>
    <w:basedOn w:val="1"/>
    <w:qFormat/>
    <w:uiPriority w:val="0"/>
    <w:pPr>
      <w:widowControl/>
      <w:spacing w:before="100" w:beforeAutospacing="1" w:after="100" w:afterAutospacing="1"/>
      <w:jc w:val="left"/>
    </w:pPr>
    <w:rPr>
      <w:rFonts w:ascii="Microsoft YaHei UI" w:hAnsi="Microsoft YaHei UI" w:eastAsia="Microsoft YaHei UI" w:cs="宋体"/>
      <w:color w:val="000000"/>
      <w:kern w:val="0"/>
      <w:szCs w:val="21"/>
    </w:rPr>
  </w:style>
  <w:style w:type="paragraph" w:customStyle="1" w:styleId="75">
    <w:name w:val="xl63"/>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rFonts w:ascii="黑体" w:hAnsi="黑体" w:eastAsia="黑体" w:cs="宋体"/>
      <w:kern w:val="0"/>
      <w:sz w:val="24"/>
      <w:szCs w:val="24"/>
    </w:rPr>
  </w:style>
  <w:style w:type="paragraph" w:customStyle="1" w:styleId="76">
    <w:name w:val="xl64"/>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仿宋_GB2312" w:hAnsi="宋体" w:eastAsia="仿宋_GB2312" w:cs="宋体"/>
      <w:color w:val="000000"/>
      <w:kern w:val="0"/>
      <w:szCs w:val="21"/>
    </w:rPr>
  </w:style>
  <w:style w:type="paragraph" w:customStyle="1" w:styleId="77">
    <w:name w:val="xl65"/>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仿宋_GB2312" w:hAnsi="宋体" w:eastAsia="仿宋_GB2312" w:cs="宋体"/>
      <w:kern w:val="0"/>
      <w:szCs w:val="21"/>
    </w:rPr>
  </w:style>
  <w:style w:type="paragraph" w:customStyle="1" w:styleId="78">
    <w:name w:val="xl66"/>
    <w:basedOn w:val="1"/>
    <w:qFormat/>
    <w:uiPriority w:val="0"/>
    <w:pPr>
      <w:widowControl/>
      <w:pBdr>
        <w:bottom w:val="single" w:color="auto" w:sz="8" w:space="0"/>
        <w:right w:val="single" w:color="auto" w:sz="8" w:space="0"/>
      </w:pBdr>
      <w:shd w:val="clear" w:color="000000" w:fill="FFFFFF"/>
      <w:spacing w:before="100" w:beforeAutospacing="1" w:after="100" w:afterAutospacing="1"/>
      <w:jc w:val="center"/>
      <w:textAlignment w:val="center"/>
    </w:pPr>
    <w:rPr>
      <w:rFonts w:ascii="仿宋_GB2312" w:hAnsi="宋体" w:eastAsia="仿宋_GB2312" w:cs="宋体"/>
      <w:color w:val="000000"/>
      <w:kern w:val="0"/>
      <w:szCs w:val="21"/>
    </w:rPr>
  </w:style>
  <w:style w:type="paragraph" w:customStyle="1" w:styleId="79">
    <w:name w:val="xl67"/>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仿宋_GB2312" w:hAnsi="宋体" w:eastAsia="仿宋_GB2312" w:cs="宋体"/>
      <w:kern w:val="0"/>
      <w:szCs w:val="21"/>
    </w:rPr>
  </w:style>
  <w:style w:type="paragraph" w:customStyle="1" w:styleId="80">
    <w:name w:val="xl68"/>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仿宋_GB2312" w:hAnsi="宋体" w:eastAsia="仿宋_GB2312" w:cs="宋体"/>
      <w:kern w:val="0"/>
      <w:szCs w:val="21"/>
    </w:rPr>
  </w:style>
  <w:style w:type="paragraph" w:customStyle="1" w:styleId="81">
    <w:name w:val="xl69"/>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100" w:afterAutospacing="1"/>
      <w:jc w:val="center"/>
      <w:textAlignment w:val="center"/>
    </w:pPr>
    <w:rPr>
      <w:rFonts w:ascii="仿宋_GB2312" w:hAnsi="宋体" w:eastAsia="仿宋_GB2312" w:cs="宋体"/>
      <w:color w:val="000000"/>
      <w:kern w:val="0"/>
      <w:szCs w:val="21"/>
    </w:rPr>
  </w:style>
  <w:style w:type="paragraph" w:customStyle="1" w:styleId="82">
    <w:name w:val="xl70"/>
    <w:basedOn w:val="1"/>
    <w:qFormat/>
    <w:uiPriority w:val="0"/>
    <w:pPr>
      <w:widowControl/>
      <w:pBdr>
        <w:left w:val="single" w:color="auto" w:sz="8" w:space="0"/>
        <w:bottom w:val="single" w:color="auto" w:sz="8" w:space="0"/>
        <w:right w:val="single" w:color="auto" w:sz="8" w:space="0"/>
      </w:pBdr>
      <w:shd w:val="clear" w:color="000000" w:fill="FFFFFF"/>
      <w:spacing w:before="100" w:beforeAutospacing="1" w:after="100" w:afterAutospacing="1"/>
      <w:jc w:val="center"/>
      <w:textAlignment w:val="center"/>
    </w:pPr>
    <w:rPr>
      <w:rFonts w:ascii="仿宋_GB2312" w:hAnsi="宋体" w:eastAsia="仿宋_GB2312" w:cs="宋体"/>
      <w:color w:val="000000"/>
      <w:kern w:val="0"/>
      <w:szCs w:val="21"/>
    </w:rPr>
  </w:style>
  <w:style w:type="paragraph" w:customStyle="1" w:styleId="83">
    <w:name w:val="xl71"/>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仿宋_GB2312" w:hAnsi="宋体" w:eastAsia="仿宋_GB2312" w:cs="宋体"/>
      <w:color w:val="000000"/>
      <w:kern w:val="0"/>
      <w:szCs w:val="21"/>
    </w:rPr>
  </w:style>
  <w:style w:type="paragraph" w:customStyle="1" w:styleId="84">
    <w:name w:val="xl72"/>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仿宋_GB2312" w:hAnsi="宋体" w:eastAsia="仿宋_GB2312" w:cs="宋体"/>
      <w:color w:val="000000"/>
      <w:kern w:val="0"/>
      <w:szCs w:val="21"/>
    </w:rPr>
  </w:style>
  <w:style w:type="paragraph" w:customStyle="1" w:styleId="85">
    <w:name w:val="xl73"/>
    <w:basedOn w:val="1"/>
    <w:qFormat/>
    <w:uiPriority w:val="0"/>
    <w:pPr>
      <w:widowControl/>
      <w:pBdr>
        <w:left w:val="single" w:color="auto" w:sz="8" w:space="0"/>
        <w:right w:val="single" w:color="auto" w:sz="8" w:space="0"/>
      </w:pBdr>
      <w:shd w:val="clear" w:color="000000" w:fill="FFFFFF"/>
      <w:spacing w:before="100" w:beforeAutospacing="1" w:after="100" w:afterAutospacing="1"/>
      <w:jc w:val="center"/>
      <w:textAlignment w:val="center"/>
    </w:pPr>
    <w:rPr>
      <w:rFonts w:ascii="仿宋_GB2312" w:hAnsi="宋体" w:eastAsia="仿宋_GB2312" w:cs="宋体"/>
      <w:color w:val="000000"/>
      <w:kern w:val="0"/>
      <w:szCs w:val="21"/>
    </w:rPr>
  </w:style>
  <w:style w:type="paragraph" w:customStyle="1" w:styleId="86">
    <w:name w:val="xl74"/>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仿宋_GB2312" w:hAnsi="宋体" w:eastAsia="仿宋_GB2312" w:cs="宋体"/>
      <w:color w:val="000000"/>
      <w:kern w:val="0"/>
      <w:szCs w:val="21"/>
    </w:rPr>
  </w:style>
  <w:style w:type="paragraph" w:customStyle="1" w:styleId="87">
    <w:name w:val="xl75"/>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88">
    <w:name w:val="xl76"/>
    <w:basedOn w:val="1"/>
    <w:qFormat/>
    <w:uiPriority w:val="0"/>
    <w:pPr>
      <w:widowControl/>
      <w:pBdr>
        <w:bottom w:val="single" w:color="auto" w:sz="8" w:space="0"/>
        <w:right w:val="single" w:color="auto" w:sz="8" w:space="0"/>
      </w:pBdr>
      <w:shd w:val="clear" w:color="000000" w:fill="FFFFFF"/>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89">
    <w:name w:val="xl77"/>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90">
    <w:name w:val="xl78"/>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eastAsia="宋体" w:cs="宋体"/>
      <w:kern w:val="0"/>
      <w:szCs w:val="21"/>
    </w:rPr>
  </w:style>
  <w:style w:type="paragraph" w:customStyle="1" w:styleId="91">
    <w:name w:val="xl79"/>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92">
    <w:name w:val="xl80"/>
    <w:basedOn w:val="1"/>
    <w:qFormat/>
    <w:uiPriority w:val="0"/>
    <w:pPr>
      <w:widowControl/>
      <w:pBdr>
        <w:left w:val="single" w:color="auto" w:sz="8" w:space="0"/>
        <w:bottom w:val="single" w:color="auto" w:sz="8" w:space="0"/>
        <w:right w:val="single" w:color="auto" w:sz="8" w:space="0"/>
      </w:pBdr>
      <w:shd w:val="clear" w:color="000000" w:fill="FFFFFF"/>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93">
    <w:name w:val="xl81"/>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94">
    <w:name w:val="xl82"/>
    <w:basedOn w:val="1"/>
    <w:qFormat/>
    <w:uiPriority w:val="0"/>
    <w:pPr>
      <w:widowControl/>
      <w:pBdr>
        <w:left w:val="single" w:color="auto" w:sz="8" w:space="0"/>
        <w:right w:val="single" w:color="auto" w:sz="8" w:space="0"/>
      </w:pBdr>
      <w:shd w:val="clear" w:color="000000" w:fill="FFFFFF"/>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95">
    <w:name w:val="xl83"/>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eastAsia="宋体" w:cs="宋体"/>
      <w:kern w:val="0"/>
      <w:szCs w:val="21"/>
    </w:rPr>
  </w:style>
  <w:style w:type="paragraph" w:customStyle="1" w:styleId="96">
    <w:name w:val="xl84"/>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宋体" w:hAnsi="宋体" w:eastAsia="宋体" w:cs="宋体"/>
      <w:color w:val="000000"/>
      <w:kern w:val="0"/>
      <w:szCs w:val="21"/>
    </w:rPr>
  </w:style>
  <w:style w:type="paragraph" w:customStyle="1" w:styleId="97">
    <w:name w:val="xl85"/>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宋体" w:hAnsi="宋体" w:eastAsia="宋体" w:cs="宋体"/>
      <w:kern w:val="0"/>
      <w:szCs w:val="21"/>
    </w:rPr>
  </w:style>
  <w:style w:type="table" w:customStyle="1" w:styleId="98">
    <w:name w:val="网格型2"/>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9">
    <w:name w:val="网格型3"/>
    <w:basedOn w:val="28"/>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0">
    <w:name w:val="表格内容"/>
    <w:basedOn w:val="1"/>
    <w:link w:val="101"/>
    <w:qFormat/>
    <w:uiPriority w:val="0"/>
    <w:pPr>
      <w:jc w:val="center"/>
    </w:pPr>
    <w:rPr>
      <w:rFonts w:ascii="Times New Roman" w:hAnsi="Times New Roman" w:eastAsia="仿宋"/>
    </w:rPr>
  </w:style>
  <w:style w:type="character" w:customStyle="1" w:styleId="101">
    <w:name w:val="表格内容 字符"/>
    <w:basedOn w:val="30"/>
    <w:link w:val="100"/>
    <w:qFormat/>
    <w:uiPriority w:val="0"/>
    <w:rPr>
      <w:rFonts w:eastAsia="仿宋" w:cs="Times New Roman"/>
      <w:kern w:val="2"/>
      <w:sz w:val="21"/>
      <w:szCs w:val="22"/>
    </w:rPr>
  </w:style>
  <w:style w:type="paragraph" w:customStyle="1" w:styleId="10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3">
    <w:name w:val="TOC 标题11"/>
    <w:basedOn w:val="4"/>
    <w:next w:val="1"/>
    <w:unhideWhenUsed/>
    <w:qFormat/>
    <w:uiPriority w:val="39"/>
    <w:pPr>
      <w:widowControl/>
      <w:spacing w:before="480" w:after="0" w:line="276" w:lineRule="auto"/>
      <w:outlineLvl w:val="9"/>
    </w:pPr>
    <w:rPr>
      <w:rFonts w:ascii="等线 Light" w:hAnsi="等线 Light" w:eastAsia="等线 Light"/>
      <w:color w:val="2F5496"/>
      <w:kern w:val="0"/>
      <w:sz w:val="28"/>
      <w:szCs w:val="28"/>
    </w:rPr>
  </w:style>
  <w:style w:type="paragraph" w:customStyle="1" w:styleId="104">
    <w:name w:val="修订31"/>
    <w:semiHidden/>
    <w:qFormat/>
    <w:uiPriority w:val="99"/>
    <w:rPr>
      <w:rFonts w:ascii="等线" w:hAnsi="等线" w:eastAsia="等线" w:cs="Times New Roman"/>
      <w:kern w:val="2"/>
      <w:sz w:val="21"/>
      <w:szCs w:val="22"/>
      <w:lang w:val="en-US" w:eastAsia="zh-CN" w:bidi="ar-SA"/>
    </w:rPr>
  </w:style>
  <w:style w:type="paragraph" w:customStyle="1" w:styleId="105">
    <w:name w:val="修订4"/>
    <w:unhideWhenUsed/>
    <w:qFormat/>
    <w:uiPriority w:val="99"/>
    <w:rPr>
      <w:rFonts w:ascii="等线" w:hAnsi="等线" w:eastAsia="等线" w:cs="Times New Roman"/>
      <w:kern w:val="2"/>
      <w:sz w:val="21"/>
      <w:szCs w:val="22"/>
      <w:lang w:val="en-US" w:eastAsia="zh-CN" w:bidi="ar-SA"/>
    </w:rPr>
  </w:style>
  <w:style w:type="paragraph" w:customStyle="1" w:styleId="106">
    <w:name w:val="修订5"/>
    <w:hidden/>
    <w:unhideWhenUsed/>
    <w:qFormat/>
    <w:uiPriority w:val="99"/>
    <w:rPr>
      <w:rFonts w:ascii="等线" w:hAnsi="等线" w:eastAsia="等线"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1" Type="http://schemas.openxmlformats.org/officeDocument/2006/relationships/fontTable" Target="fontTable.xml"/><Relationship Id="rId70" Type="http://schemas.openxmlformats.org/officeDocument/2006/relationships/numbering" Target="numbering.xml"/><Relationship Id="rId7" Type="http://schemas.openxmlformats.org/officeDocument/2006/relationships/header" Target="header2.xml"/><Relationship Id="rId69" Type="http://schemas.openxmlformats.org/officeDocument/2006/relationships/customXml" Target="../customXml/item1.xml"/><Relationship Id="rId68" Type="http://schemas.openxmlformats.org/officeDocument/2006/relationships/image" Target="media/image49.png"/><Relationship Id="rId67" Type="http://schemas.openxmlformats.org/officeDocument/2006/relationships/image" Target="media/image48.png"/><Relationship Id="rId66" Type="http://schemas.openxmlformats.org/officeDocument/2006/relationships/image" Target="media/image47.png"/><Relationship Id="rId65" Type="http://schemas.openxmlformats.org/officeDocument/2006/relationships/image" Target="media/image46.png"/><Relationship Id="rId64" Type="http://schemas.openxmlformats.org/officeDocument/2006/relationships/image" Target="media/image45.jpeg"/><Relationship Id="rId63" Type="http://schemas.openxmlformats.org/officeDocument/2006/relationships/image" Target="media/image44.png"/><Relationship Id="rId62" Type="http://schemas.openxmlformats.org/officeDocument/2006/relationships/image" Target="media/image43.jpeg"/><Relationship Id="rId61" Type="http://schemas.openxmlformats.org/officeDocument/2006/relationships/image" Target="media/image42.jpeg"/><Relationship Id="rId60" Type="http://schemas.openxmlformats.org/officeDocument/2006/relationships/image" Target="media/image41.png"/><Relationship Id="rId6" Type="http://schemas.openxmlformats.org/officeDocument/2006/relationships/footer" Target="footer3.xml"/><Relationship Id="rId59" Type="http://schemas.openxmlformats.org/officeDocument/2006/relationships/image" Target="media/image40.png"/><Relationship Id="rId58" Type="http://schemas.openxmlformats.org/officeDocument/2006/relationships/image" Target="media/image39.jpeg"/><Relationship Id="rId57" Type="http://schemas.openxmlformats.org/officeDocument/2006/relationships/image" Target="media/image38.png"/><Relationship Id="rId56" Type="http://schemas.openxmlformats.org/officeDocument/2006/relationships/image" Target="media/image37.jpeg"/><Relationship Id="rId55" Type="http://schemas.openxmlformats.org/officeDocument/2006/relationships/image" Target="media/image36.jpeg"/><Relationship Id="rId54" Type="http://schemas.openxmlformats.org/officeDocument/2006/relationships/image" Target="media/image35.jpeg"/><Relationship Id="rId53" Type="http://schemas.openxmlformats.org/officeDocument/2006/relationships/image" Target="media/image34.png"/><Relationship Id="rId52" Type="http://schemas.openxmlformats.org/officeDocument/2006/relationships/image" Target="media/image33.jpeg"/><Relationship Id="rId51" Type="http://schemas.openxmlformats.org/officeDocument/2006/relationships/image" Target="media/image32.png"/><Relationship Id="rId50" Type="http://schemas.openxmlformats.org/officeDocument/2006/relationships/image" Target="media/image31.jpeg"/><Relationship Id="rId5" Type="http://schemas.openxmlformats.org/officeDocument/2006/relationships/footer" Target="footer2.xml"/><Relationship Id="rId49" Type="http://schemas.openxmlformats.org/officeDocument/2006/relationships/image" Target="media/image30.jpeg"/><Relationship Id="rId48" Type="http://schemas.openxmlformats.org/officeDocument/2006/relationships/image" Target="media/image29.jpeg"/><Relationship Id="rId47" Type="http://schemas.openxmlformats.org/officeDocument/2006/relationships/image" Target="media/image28.jpeg"/><Relationship Id="rId46" Type="http://schemas.openxmlformats.org/officeDocument/2006/relationships/image" Target="media/image27.jpeg"/><Relationship Id="rId45" Type="http://schemas.openxmlformats.org/officeDocument/2006/relationships/image" Target="media/image26.jpeg"/><Relationship Id="rId44" Type="http://schemas.openxmlformats.org/officeDocument/2006/relationships/image" Target="media/image25.png"/><Relationship Id="rId43" Type="http://schemas.openxmlformats.org/officeDocument/2006/relationships/image" Target="media/image24.png"/><Relationship Id="rId42" Type="http://schemas.openxmlformats.org/officeDocument/2006/relationships/image" Target="media/image23.jpeg"/><Relationship Id="rId41" Type="http://schemas.openxmlformats.org/officeDocument/2006/relationships/image" Target="media/image22.png"/><Relationship Id="rId40" Type="http://schemas.openxmlformats.org/officeDocument/2006/relationships/image" Target="media/image21.jpeg"/><Relationship Id="rId4" Type="http://schemas.openxmlformats.org/officeDocument/2006/relationships/header" Target="header1.xml"/><Relationship Id="rId39" Type="http://schemas.openxmlformats.org/officeDocument/2006/relationships/image" Target="media/image20.jpeg"/><Relationship Id="rId38" Type="http://schemas.openxmlformats.org/officeDocument/2006/relationships/image" Target="media/image19.jpeg"/><Relationship Id="rId37" Type="http://schemas.openxmlformats.org/officeDocument/2006/relationships/image" Target="media/image18.png"/><Relationship Id="rId36" Type="http://schemas.openxmlformats.org/officeDocument/2006/relationships/image" Target="media/image17.png"/><Relationship Id="rId35" Type="http://schemas.openxmlformats.org/officeDocument/2006/relationships/image" Target="media/image16.jpeg"/><Relationship Id="rId34" Type="http://schemas.openxmlformats.org/officeDocument/2006/relationships/image" Target="media/image15.jpeg"/><Relationship Id="rId33" Type="http://schemas.openxmlformats.org/officeDocument/2006/relationships/image" Target="media/image14.jpeg"/><Relationship Id="rId32" Type="http://schemas.openxmlformats.org/officeDocument/2006/relationships/image" Target="media/image13.jpeg"/><Relationship Id="rId31" Type="http://schemas.openxmlformats.org/officeDocument/2006/relationships/image" Target="media/image12.jpeg"/><Relationship Id="rId30" Type="http://schemas.openxmlformats.org/officeDocument/2006/relationships/image" Target="media/image11.jpeg"/><Relationship Id="rId3" Type="http://schemas.openxmlformats.org/officeDocument/2006/relationships/footer" Target="footer1.xml"/><Relationship Id="rId29" Type="http://schemas.openxmlformats.org/officeDocument/2006/relationships/image" Target="media/image10.png"/><Relationship Id="rId28" Type="http://schemas.openxmlformats.org/officeDocument/2006/relationships/image" Target="media/image9.jpeg"/><Relationship Id="rId27" Type="http://schemas.openxmlformats.org/officeDocument/2006/relationships/image" Target="media/image8.jpeg"/><Relationship Id="rId26" Type="http://schemas.openxmlformats.org/officeDocument/2006/relationships/image" Target="media/image7.jpeg"/><Relationship Id="rId25" Type="http://schemas.openxmlformats.org/officeDocument/2006/relationships/image" Target="media/image6.png"/><Relationship Id="rId24" Type="http://schemas.openxmlformats.org/officeDocument/2006/relationships/image" Target="media/image5.jpeg"/><Relationship Id="rId23" Type="http://schemas.openxmlformats.org/officeDocument/2006/relationships/image" Target="media/image4.jpeg"/><Relationship Id="rId22" Type="http://schemas.openxmlformats.org/officeDocument/2006/relationships/image" Target="media/image3.jpeg"/><Relationship Id="rId21" Type="http://schemas.openxmlformats.org/officeDocument/2006/relationships/image" Target="media/image2.jpeg"/><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131</Pages>
  <Words>7844</Words>
  <Characters>7968</Characters>
  <Lines>446</Lines>
  <Paragraphs>125</Paragraphs>
  <TotalTime>6</TotalTime>
  <ScaleCrop>false</ScaleCrop>
  <LinksUpToDate>false</LinksUpToDate>
  <CharactersWithSpaces>8070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2023-08-24T10:19:00Z</dcterms:created>
  <dc:creator>Administrator</dc:creator>
  <cp:lastModifiedBy>彩虹</cp:lastModifiedBy>
  <cp:lastPrinted>2023-09-12T23:36:00Z</cp:lastPrinted>
  <dcterms:modified xsi:type="dcterms:W3CDTF">2026-07-15T09:08:20Z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CD5F7A6A0BA1706ED3E4F6644E002EB9</vt:lpwstr>
  </property>
  <property fmtid="{D5CDD505-2E9C-101B-9397-08002B2CF9AE}" pid="4" name="GrammarlyDocumentId">
    <vt:lpwstr>9e9f5dd941fdce0ac909ca4dbed6bc7f87cb84139c1c422f1ad2b0faf7a9cb41</vt:lpwstr>
  </property>
  <property fmtid="{D5CDD505-2E9C-101B-9397-08002B2CF9AE}" pid="5" name="KSOTemplateDocerSaveRecord">
    <vt:lpwstr>eyJoZGlkIjoiOWU3MDBhYWMzODM2Y2Y3NTIwNjUxZDkwMTJmNTM5YTAiLCJ1c2VySWQiOiIxMDQ0MjkxMTYxIn0=</vt:lpwstr>
  </property>
</Properties>
</file>