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4D" w:rsidRDefault="008A0B75">
      <w:pPr>
        <w:ind w:leftChars="-202" w:left="-424"/>
        <w:jc w:val="left"/>
        <w:rPr>
          <w:rFonts w:ascii="黑体" w:eastAsia="黑体" w:hAnsi="Times New Roman" w:cs="Times New Roman"/>
          <w:sz w:val="32"/>
          <w:szCs w:val="32"/>
        </w:rPr>
      </w:pPr>
      <w:r w:rsidRPr="008A0B75">
        <w:rPr>
          <w:rFonts w:ascii="黑体" w:eastAsia="黑体" w:hAnsi="Times New Roman" w:cs="Times New Roman" w:hint="eastAsia"/>
          <w:sz w:val="32"/>
          <w:szCs w:val="32"/>
        </w:rPr>
        <w:t>附件2</w:t>
      </w:r>
    </w:p>
    <w:tbl>
      <w:tblPr>
        <w:tblW w:w="91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912"/>
        <w:gridCol w:w="1224"/>
        <w:gridCol w:w="2589"/>
        <w:gridCol w:w="1557"/>
        <w:gridCol w:w="2307"/>
      </w:tblGrid>
      <w:tr w:rsidR="0059398C">
        <w:trPr>
          <w:trHeight w:val="975"/>
          <w:jc w:val="center"/>
        </w:trPr>
        <w:tc>
          <w:tcPr>
            <w:tcW w:w="9178" w:type="dxa"/>
            <w:gridSpan w:val="6"/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</w:rPr>
              <w:t>专项转移支付绩效目标表</w:t>
            </w:r>
            <w:r>
              <w:rPr>
                <w:rStyle w:val="font41"/>
                <w:rFonts w:hint="default"/>
              </w:rPr>
              <w:br/>
            </w:r>
            <w:r>
              <w:rPr>
                <w:rStyle w:val="font31"/>
                <w:rFonts w:hint="default"/>
              </w:rPr>
              <w:t>（2020年度）</w:t>
            </w:r>
          </w:p>
        </w:tc>
      </w:tr>
      <w:tr w:rsidR="0059398C">
        <w:trPr>
          <w:trHeight w:val="415"/>
          <w:jc w:val="center"/>
        </w:trPr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重点改善提升“十镇百村” 补助资金</w:t>
            </w:r>
          </w:p>
        </w:tc>
      </w:tr>
      <w:tr w:rsidR="0059398C">
        <w:trPr>
          <w:trHeight w:val="350"/>
          <w:jc w:val="center"/>
        </w:trPr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主管部门（单位）名称及部门预算编码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省住建厅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补助区域</w:t>
            </w:r>
          </w:p>
        </w:tc>
        <w:tc>
          <w:tcPr>
            <w:tcW w:w="2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90个重点改善提升“十镇百村”的县（市、区）</w:t>
            </w:r>
          </w:p>
        </w:tc>
      </w:tr>
      <w:tr w:rsidR="0059398C">
        <w:trPr>
          <w:trHeight w:val="243"/>
          <w:jc w:val="center"/>
        </w:trPr>
        <w:tc>
          <w:tcPr>
            <w:tcW w:w="27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资金情况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（万元）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资金总额：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34800万元</w:t>
            </w:r>
          </w:p>
        </w:tc>
      </w:tr>
      <w:tr w:rsidR="0059398C">
        <w:trPr>
          <w:trHeight w:val="393"/>
          <w:jc w:val="center"/>
        </w:trPr>
        <w:tc>
          <w:tcPr>
            <w:tcW w:w="27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其中：财政拨款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34800万元</w:t>
            </w:r>
          </w:p>
        </w:tc>
      </w:tr>
      <w:tr w:rsidR="0059398C">
        <w:trPr>
          <w:trHeight w:val="217"/>
          <w:jc w:val="center"/>
        </w:trPr>
        <w:tc>
          <w:tcPr>
            <w:tcW w:w="27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Style w:val="font21"/>
                <w:rFonts w:hint="default"/>
                <w:sz w:val="21"/>
                <w:szCs w:val="21"/>
              </w:rPr>
              <w:t xml:space="preserve">     其他资金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9398C">
        <w:trPr>
          <w:trHeight w:val="62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总体</w:t>
            </w:r>
          </w:p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8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推进宜居环境建设，提升历史文化名镇名村和传统村落景观面貌。</w:t>
            </w:r>
          </w:p>
        </w:tc>
      </w:tr>
      <w:tr w:rsidR="0059398C">
        <w:trPr>
          <w:trHeight w:val="567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标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</w:t>
            </w:r>
          </w:p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区域目标值</w:t>
            </w:r>
          </w:p>
        </w:tc>
      </w:tr>
      <w:tr w:rsidR="0059398C">
        <w:trPr>
          <w:trHeight w:val="567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历史文化名镇名村和传统村落改善提升数量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详见附件1</w:t>
            </w:r>
          </w:p>
        </w:tc>
      </w:tr>
      <w:tr w:rsidR="0059398C">
        <w:trPr>
          <w:trHeight w:val="567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修缮传统建筑数量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每个镇≥10座，每个村≥5座</w:t>
            </w:r>
          </w:p>
        </w:tc>
      </w:tr>
      <w:tr w:rsidR="0059398C">
        <w:trPr>
          <w:trHeight w:val="567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传统建筑活化利用数量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每个镇≥10座，每个村≥5座</w:t>
            </w:r>
          </w:p>
        </w:tc>
      </w:tr>
      <w:tr w:rsidR="0059398C">
        <w:trPr>
          <w:trHeight w:val="567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整治传统街巷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每个镇≥1条</w:t>
            </w:r>
          </w:p>
        </w:tc>
      </w:tr>
      <w:tr w:rsidR="0059398C">
        <w:trPr>
          <w:trHeight w:val="567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修缮或整治公厕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每个镇村≥1座</w:t>
            </w:r>
          </w:p>
        </w:tc>
      </w:tr>
      <w:tr w:rsidR="0059398C">
        <w:trPr>
          <w:trHeight w:val="567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项目开工率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</w:tr>
      <w:tr w:rsidR="0059398C">
        <w:trPr>
          <w:trHeight w:val="567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省级投入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镇≥500万元</w:t>
            </w:r>
          </w:p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村≥300万元</w:t>
            </w:r>
          </w:p>
        </w:tc>
      </w:tr>
      <w:tr w:rsidR="0059398C">
        <w:trPr>
          <w:trHeight w:val="567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地方投入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镇≥500万元</w:t>
            </w:r>
          </w:p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村≥300万元</w:t>
            </w:r>
          </w:p>
        </w:tc>
      </w:tr>
      <w:tr w:rsidR="0059398C">
        <w:trPr>
          <w:trHeight w:val="567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效益指标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指标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改善历史文化名镇名村和传统村落面貌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改善历史文化名镇名村和传统村落面貌、人居环境优化</w:t>
            </w:r>
          </w:p>
        </w:tc>
      </w:tr>
      <w:tr w:rsidR="0059398C">
        <w:trPr>
          <w:trHeight w:val="567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指标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镇容镇貌、村容村貌改善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≥80%</w:t>
            </w:r>
          </w:p>
        </w:tc>
      </w:tr>
      <w:tr w:rsidR="0059398C">
        <w:trPr>
          <w:trHeight w:val="567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制定村规民约，长效管理机制运行良好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≥80%</w:t>
            </w:r>
          </w:p>
        </w:tc>
      </w:tr>
      <w:tr w:rsidR="0059398C">
        <w:trPr>
          <w:trHeight w:val="567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59398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满意度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服务对象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满意度指标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人民群众满意度情况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98C" w:rsidRDefault="00E17F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</w:tr>
    </w:tbl>
    <w:p w:rsidR="0059398C" w:rsidRDefault="0059398C">
      <w:pPr>
        <w:spacing w:line="20" w:lineRule="exact"/>
        <w:jc w:val="left"/>
      </w:pPr>
    </w:p>
    <w:sectPr w:rsidR="0059398C" w:rsidSect="00E873CC">
      <w:headerReference w:type="default" r:id="rId7"/>
      <w:pgSz w:w="11906" w:h="16838"/>
      <w:pgMar w:top="1361" w:right="1800" w:bottom="1361" w:left="1800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60E" w:rsidRDefault="00C3560E">
      <w:r>
        <w:separator/>
      </w:r>
    </w:p>
  </w:endnote>
  <w:endnote w:type="continuationSeparator" w:id="0">
    <w:p w:rsidR="00C3560E" w:rsidRDefault="00C35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60E" w:rsidRDefault="00C3560E">
      <w:r>
        <w:separator/>
      </w:r>
    </w:p>
  </w:footnote>
  <w:footnote w:type="continuationSeparator" w:id="0">
    <w:p w:rsidR="00C3560E" w:rsidRDefault="00C35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4D" w:rsidRDefault="00E873CC">
    <w:r>
      <w:t xml:space="preserve"> </w:t>
    </w:r>
    <w:r w:rsidR="00287460">
      <w:t xml:space="preserve"> </w:t>
    </w:r>
    <w:r w:rsidR="00E17F20">
      <w:rPr>
        <w:rFonts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trackRevision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95A1AA3"/>
    <w:rsid w:val="00137FA2"/>
    <w:rsid w:val="00287460"/>
    <w:rsid w:val="0059398C"/>
    <w:rsid w:val="0060356D"/>
    <w:rsid w:val="00795CC4"/>
    <w:rsid w:val="008A0B75"/>
    <w:rsid w:val="00BE4D4D"/>
    <w:rsid w:val="00C3560E"/>
    <w:rsid w:val="00E17F20"/>
    <w:rsid w:val="00E873CC"/>
    <w:rsid w:val="012F0252"/>
    <w:rsid w:val="03904A5D"/>
    <w:rsid w:val="07605494"/>
    <w:rsid w:val="08942CFD"/>
    <w:rsid w:val="08ED3F98"/>
    <w:rsid w:val="095A1AA3"/>
    <w:rsid w:val="0BF318B9"/>
    <w:rsid w:val="0CF46854"/>
    <w:rsid w:val="11B576D4"/>
    <w:rsid w:val="14EE30E7"/>
    <w:rsid w:val="17860530"/>
    <w:rsid w:val="19525F57"/>
    <w:rsid w:val="1FA65D1C"/>
    <w:rsid w:val="1FD61D96"/>
    <w:rsid w:val="204C212D"/>
    <w:rsid w:val="26B971CB"/>
    <w:rsid w:val="2DB81522"/>
    <w:rsid w:val="32295AEF"/>
    <w:rsid w:val="36FE67FB"/>
    <w:rsid w:val="3A523FCF"/>
    <w:rsid w:val="3B526CCC"/>
    <w:rsid w:val="400E615A"/>
    <w:rsid w:val="431470D0"/>
    <w:rsid w:val="47FD7D5F"/>
    <w:rsid w:val="49D144E4"/>
    <w:rsid w:val="4D274E58"/>
    <w:rsid w:val="4EDA7153"/>
    <w:rsid w:val="50705A3B"/>
    <w:rsid w:val="50ED5D9F"/>
    <w:rsid w:val="52A950E0"/>
    <w:rsid w:val="540537F7"/>
    <w:rsid w:val="55E72CF2"/>
    <w:rsid w:val="59E75FBB"/>
    <w:rsid w:val="5B9010A9"/>
    <w:rsid w:val="5C5C4F29"/>
    <w:rsid w:val="607C46D4"/>
    <w:rsid w:val="615B6401"/>
    <w:rsid w:val="645F1F8C"/>
    <w:rsid w:val="66224BEF"/>
    <w:rsid w:val="6A280B63"/>
    <w:rsid w:val="6B98538F"/>
    <w:rsid w:val="7163002C"/>
    <w:rsid w:val="74BC2F72"/>
    <w:rsid w:val="78217CD1"/>
    <w:rsid w:val="7BA774E8"/>
    <w:rsid w:val="7CAD633E"/>
    <w:rsid w:val="7E37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8A0B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8A0B75"/>
    <w:pPr>
      <w:ind w:firstLineChars="200" w:firstLine="420"/>
    </w:pPr>
  </w:style>
  <w:style w:type="paragraph" w:styleId="a3">
    <w:name w:val="Body Text Indent"/>
    <w:basedOn w:val="a"/>
    <w:qFormat/>
    <w:rsid w:val="008A0B75"/>
    <w:pPr>
      <w:spacing w:after="120"/>
      <w:ind w:leftChars="200" w:left="420"/>
    </w:pPr>
  </w:style>
  <w:style w:type="paragraph" w:styleId="a4">
    <w:name w:val="footer"/>
    <w:basedOn w:val="a"/>
    <w:rsid w:val="008A0B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A0B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41">
    <w:name w:val="font41"/>
    <w:basedOn w:val="a0"/>
    <w:qFormat/>
    <w:rsid w:val="008A0B75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8A0B75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8A0B75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Balloon Text"/>
    <w:basedOn w:val="a"/>
    <w:link w:val="Char"/>
    <w:rsid w:val="00287460"/>
    <w:rPr>
      <w:sz w:val="18"/>
      <w:szCs w:val="18"/>
    </w:rPr>
  </w:style>
  <w:style w:type="character" w:customStyle="1" w:styleId="Char">
    <w:name w:val="批注框文本 Char"/>
    <w:basedOn w:val="a0"/>
    <w:link w:val="a6"/>
    <w:rsid w:val="002874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Balloon Text"/>
    <w:basedOn w:val="a"/>
    <w:link w:val="Char"/>
    <w:rsid w:val="00287460"/>
    <w:rPr>
      <w:sz w:val="18"/>
      <w:szCs w:val="18"/>
    </w:rPr>
  </w:style>
  <w:style w:type="character" w:customStyle="1" w:styleId="Char">
    <w:name w:val="批注框文本 Char"/>
    <w:basedOn w:val="a0"/>
    <w:link w:val="a6"/>
    <w:rsid w:val="002874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福建省财政厅 福建省住房和城乡建设厅           关于下达2019年重点改善提升历史文化名镇名村和传统村落增加名额省级“以奖代补”资金的通知</dc:title>
  <dc:creator>Administrator</dc:creator>
  <cp:lastModifiedBy>null</cp:lastModifiedBy>
  <cp:revision>3</cp:revision>
  <cp:lastPrinted>2020-04-14T09:51:00Z</cp:lastPrinted>
  <dcterms:created xsi:type="dcterms:W3CDTF">2020-04-14T09:51:00Z</dcterms:created>
  <dcterms:modified xsi:type="dcterms:W3CDTF">2020-04-14T09:51:00Z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